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GGVSee 2015 — Ordnungswidrigkeiten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(1) Ordnungswidrig im Sinne des § 10 Absatz 1 Nummer 1 Buchstabe b des Gefahrgutbeförderungsgesetzes handelt, wer vorsätzlich oder fahrlässig</w:t>
      </w:r>
    </w:p>
    <w:p>
      <w:pPr>
        <w:ind w:left="420"/>
      </w:pPr>
      <w:r>
        <w:t xml:space="preserve">1. entgegen § 17</w:t>
      </w:r>
    </w:p>
    <w:p>
      <w:pPr>
        <w:ind w:left="780"/>
      </w:pPr>
      <w:r>
        <w:t xml:space="preserve">a) Nummer 1 oder 13 sich nicht, nicht richtig oder nicht rechtzeitig vergewissert,</w:t>
      </w:r>
    </w:p>
    <w:p>
      <w:pPr>
        <w:ind w:left="780"/>
      </w:pPr>
      <w:r>
        <w:t xml:space="preserve">b) Nummer 2 oder 14 ein Beförderungsdokument oder eine Ladungsinformation nicht, nicht richtig oder nicht rechtzeitig erstellt,</w:t>
      </w:r>
    </w:p>
    <w:p>
      <w:pPr>
        <w:ind w:left="780"/>
      </w:pPr>
      <w:r>
        <w:t xml:space="preserve">c) Nummer 3 die dort genannten Angaben nicht, nicht richtig oder nicht vollständig in ein Konnossement oder einen Frachtbrief einträgt,</w:t>
      </w:r>
    </w:p>
    <w:p>
      <w:pPr>
        <w:ind w:left="780"/>
      </w:pPr>
      <w:r>
        <w:t xml:space="preserve">d) Nummer 4 eine Verpackung, einen IBC, eine Großverpackung, einen ortsbeweglichen Tank, einen Gascontainer mit mehreren Elementen (MEGC) oder einen Schüttgut-Container verwendet,</w:t>
      </w:r>
    </w:p>
    <w:p>
      <w:pPr>
        <w:ind w:left="780"/>
      </w:pPr>
      <w:r>
        <w:t xml:space="preserve">e) Nummer 5 oder 6 einen ortsbeweglichen Tank, einen Gascontainer mit mehreren Elementen (MEGC) oder einen Schüttgut-Container befüllt,</w:t>
      </w:r>
    </w:p>
    <w:p>
      <w:pPr>
        <w:ind w:left="780"/>
      </w:pPr>
      <w:r>
        <w:t xml:space="preserve">f) Nummer 7 ein gefährliches Gut zusammenpackt,</w:t>
      </w:r>
    </w:p>
    <w:p>
      <w:pPr>
        <w:ind w:left="780"/>
      </w:pPr>
      <w:r>
        <w:t xml:space="preserve">g) Nummer 8, 9, 15, 16 oder 17 einen unverpackten Gegenstand, eine Verpackung, Umverpackung, einen IBC, eine Großverpackung, einen ortsbeweglichen Tank, einen Gascontainer mit mehreren Elementen (MEGC), einen Schüttgut-Container, eine Güterbeförderungseinheit oder ein dort genanntes Gut übergibt,</w:t>
      </w:r>
    </w:p>
    <w:p>
      <w:pPr>
        <w:ind w:left="780"/>
      </w:pPr>
      <w:r>
        <w:t xml:space="preserve">h) Nummer 10 eine Kopie des Beförderungsdokuments nicht oder nicht mindestens drei Monate aufbewahrt,</w:t>
      </w:r>
    </w:p>
    <w:p>
      <w:pPr>
        <w:ind w:left="780"/>
      </w:pPr>
      <w:r>
        <w:t xml:space="preserve">i) Nummer 11 nicht dafür sorgt, dass eine Anmeldung erfolgt,</w:t>
      </w:r>
    </w:p>
    <w:p>
      <w:pPr>
        <w:ind w:left="780"/>
      </w:pPr>
      <w:r>
        <w:t xml:space="preserve">j) Nummer 12 ein Versandstück übergibt oder eine Aufzeichnung nicht oder nicht vollständig zur Verfügung stellt oder</w:t>
      </w:r>
    </w:p>
    <w:p>
      <w:pPr>
        <w:ind w:left="780"/>
      </w:pPr>
      <w:r>
        <w:t xml:space="preserve">k) Nummer 18 eine vorgeschriebene Information nicht oder nicht rechtzeitig übermittelt;</w:t>
      </w:r>
    </w:p>
    <w:p>
      <w:pPr>
        <w:ind w:left="420"/>
      </w:pPr>
      <w:r>
        <w:t xml:space="preserve">2. entgegen § 18</w:t>
      </w:r>
    </w:p>
    <w:p>
      <w:pPr>
        <w:ind w:left="780"/>
      </w:pPr>
      <w:r>
        <w:t xml:space="preserve">a) Nummer 1 einen unverpackten Gegenstand, eine Verpackung, einen IBC oder eine Großverpackung staut oder stauen lässt,</w:t>
      </w:r>
    </w:p>
    <w:p>
      <w:pPr>
        <w:ind w:left="780"/>
      </w:pPr>
      <w:r>
        <w:t xml:space="preserve">b) Nummer 2 eine Güterbeförderungseinheit übergibt oder</w:t>
      </w:r>
    </w:p>
    <w:p>
      <w:pPr>
        <w:ind w:left="780"/>
      </w:pPr>
      <w:r>
        <w:t xml:space="preserve">c) Nummer 3 die geforderte Bescheinigung nicht, nicht richtig, nicht vollständig oder nicht rechtzeitig ausstellt oder ihren Inhalt nicht oder nicht richtig in das Beförderungsdokument aufnimmt;</w:t>
      </w:r>
    </w:p>
    <w:p>
      <w:pPr>
        <w:ind w:left="420"/>
      </w:pPr>
      <w:r>
        <w:t xml:space="preserve">3. entgegen § 19 ein dort genanntes Dokument nicht oder nicht rechtzeitig übergibt oder übermittelt;</w:t>
      </w:r>
    </w:p>
    <w:p>
      <w:pPr>
        <w:ind w:left="420"/>
      </w:pPr>
      <w:r>
        <w:t xml:space="preserve">4. entgegen § 20</w:t>
      </w:r>
    </w:p>
    <w:p>
      <w:pPr>
        <w:ind w:left="780"/>
      </w:pPr>
      <w:r>
        <w:t xml:space="preserve">a) Nummer 1 die zuständige Behörde nicht oder nicht rechtzeitig unterrichtet,</w:t>
      </w:r>
    </w:p>
    <w:p>
      <w:pPr>
        <w:ind w:left="780"/>
      </w:pPr>
      <w:r>
        <w:t xml:space="preserve">b) Nummer 2 ein dort genanntes Gut staut,</w:t>
      </w:r>
    </w:p>
    <w:p>
      <w:pPr>
        <w:ind w:left="780"/>
      </w:pPr>
      <w:r>
        <w:t xml:space="preserve">c) Nummer 3 einen unverpackten Gegenstand, eine Verpackung, Umverpackung, einen IBC, eine Großverpackung, einen Schüttgut-Container, ortsbeweglichen Tank, Gascontainer mit mehreren Elementen (MEGC) oder eine Güterbeförderungseinheit lädt oder</w:t>
      </w:r>
    </w:p>
    <w:p>
      <w:pPr>
        <w:ind w:left="780"/>
      </w:pPr>
      <w:r>
        <w:t xml:space="preserve">d) Nummer 4 oder 5 ein dort genanntes Gut verlädt;</w:t>
      </w:r>
    </w:p>
    <w:p>
      <w:pPr>
        <w:ind w:left="420"/>
      </w:pPr>
      <w:r>
        <w:t xml:space="preserve">5. entgegen § 21</w:t>
      </w:r>
    </w:p>
    <w:p>
      <w:pPr>
        <w:ind w:left="780"/>
      </w:pPr>
      <w:r>
        <w:t xml:space="preserve">a) Nummer 1, 6 oder 7 ein dort genanntes Gut zur Beförderung annimmt,</w:t>
      </w:r>
    </w:p>
    <w:p>
      <w:pPr>
        <w:ind w:left="780"/>
      </w:pPr>
      <w:r>
        <w:t xml:space="preserve">b) Nummer 2 ein dort genanntes Dokument nicht oder nicht rechtzeitig übergibt oder nicht oder nicht rechtzeitig übermittelt,</w:t>
      </w:r>
    </w:p>
    <w:p>
      <w:pPr>
        <w:ind w:left="780"/>
      </w:pPr>
      <w:r>
        <w:t xml:space="preserve">c) Nummer 3 ein dort genanntes Dokument nicht oder nicht mindestens drei Monate aufbewahrt,</w:t>
      </w:r>
    </w:p>
    <w:p>
      <w:pPr>
        <w:ind w:left="780"/>
      </w:pPr>
      <w:r>
        <w:t xml:space="preserve">d) Nummer 4 den Versender, den Empfänger und weitere an der Beförderung beteiligte Stellen nicht, nicht richtig oder nicht rechtzeitig informiert oder</w:t>
      </w:r>
    </w:p>
    <w:p>
      <w:pPr>
        <w:ind w:left="780"/>
      </w:pPr>
      <w:r>
        <w:t xml:space="preserve">e) Nummer 5 nicht dafür sorgt, dass eine dort genannte Unterlage mitgeführt wird;</w:t>
      </w:r>
    </w:p>
    <w:p>
      <w:pPr>
        <w:ind w:left="420"/>
      </w:pPr>
      <w:r>
        <w:t xml:space="preserve">6. entgegen § 22</w:t>
      </w:r>
    </w:p>
    <w:p>
      <w:pPr>
        <w:ind w:left="780"/>
      </w:pPr>
      <w:r>
        <w:t xml:space="preserve">a) Nummer 1 ein Seeschiff einsetzt,</w:t>
      </w:r>
    </w:p>
    <w:p>
      <w:pPr>
        <w:ind w:left="780"/>
      </w:pPr>
      <w:r>
        <w:t xml:space="preserve">b) Nummer 2 nicht dafür sorgt, dass ein Seeschiff ausgerüstet ist,</w:t>
      </w:r>
    </w:p>
    <w:p>
      <w:pPr>
        <w:ind w:left="780"/>
      </w:pPr>
      <w:r>
        <w:t xml:space="preserve">c) Nummer 3 nicht dafür sorgt, dass eine dort genannte Unterlage mitgeführt wird, oder</w:t>
      </w:r>
    </w:p>
    <w:p>
      <w:pPr>
        <w:ind w:left="780"/>
      </w:pPr>
      <w:r>
        <w:t xml:space="preserve">d) Nummer 4 nicht dafür sorgt, dass eine dort genannte Person unterwiesen oder eine Aufzeichnung mindestens fünf Jahre aufbewahrt wird;</w:t>
      </w:r>
    </w:p>
    <w:p>
      <w:pPr>
        <w:ind w:left="420"/>
      </w:pPr>
      <w:r>
        <w:t xml:space="preserve">7. entgegen § 23</w:t>
      </w:r>
    </w:p>
    <w:p>
      <w:pPr>
        <w:ind w:left="780"/>
      </w:pPr>
      <w:r>
        <w:t xml:space="preserve">a) Nummer 1 nicht dafür sorgt, dass eine dort genannte Person unterrichtet wird,</w:t>
      </w:r>
    </w:p>
    <w:p>
      <w:pPr>
        <w:ind w:left="780"/>
      </w:pPr>
      <w:r>
        <w:t xml:space="preserve">b) Nummer 2 nicht dafür sorgt, dass eine dort genannte Hinweistafel angebracht oder ein dort genanntes Verbot befolgt wird,</w:t>
      </w:r>
    </w:p>
    <w:p>
      <w:pPr>
        <w:ind w:left="780"/>
      </w:pPr>
      <w:r>
        <w:t xml:space="preserve">c) Nummer 4 die Ladung nicht überwacht,</w:t>
      </w:r>
    </w:p>
    <w:p>
      <w:pPr>
        <w:ind w:left="780"/>
      </w:pPr>
      <w:r>
        <w:t xml:space="preserve">d) Nummer 5 nicht dafür sorgt, dass sich die Ausrüstung in einem einsatzbereiten Zustand befindet oder die Schutzausrüstung und Schutzkleidung getragen wird,</w:t>
      </w:r>
    </w:p>
    <w:p>
      <w:pPr>
        <w:ind w:left="780"/>
      </w:pPr>
      <w:r>
        <w:t xml:space="preserve">e) Nummer 6 die zuständige Behörde nicht oder nicht rechtzeitig unterrichtet,</w:t>
      </w:r>
    </w:p>
    <w:p>
      <w:pPr>
        <w:ind w:left="780"/>
      </w:pPr>
      <w:r>
        <w:t xml:space="preserve">f) Nummer 7 nicht dafür sorgt, dass die Ladung gesichert ist,</w:t>
      </w:r>
    </w:p>
    <w:p>
      <w:pPr>
        <w:ind w:left="780"/>
      </w:pPr>
      <w:r>
        <w:t xml:space="preserve">g) Nummer 8 eine dort genannte Unterlage nicht mitführt,</w:t>
      </w:r>
    </w:p>
    <w:p>
      <w:pPr>
        <w:ind w:left="780"/>
      </w:pPr>
      <w:r>
        <w:t xml:space="preserve">h) Nummer 9 eine dort genannte Unterlage oder Information nicht oder nicht für die vorgeschriebene Dauer vorhält, nicht oder nicht für die vorgeschriebene Dauer aufbewahrt oder nicht oder nicht rechtzeitig vorlegt,</w:t>
      </w:r>
    </w:p>
    <w:p>
      <w:pPr>
        <w:ind w:left="780"/>
      </w:pPr>
      <w:r>
        <w:t xml:space="preserve">i) Nummer 10 nicht sicherstellt, dass eine dort genannte Stau- oder Trennvorschrift eingehalten wird, oder</w:t>
      </w:r>
    </w:p>
    <w:p>
      <w:pPr>
        <w:ind w:left="780"/>
      </w:pPr>
      <w:r>
        <w:t xml:space="preserve">j) Nummer 11, 12 oder 13 ein dort genanntes Gut, eine dort genannte Chemikalie oder ein dort genanntes Gas übernimmt;</w:t>
      </w:r>
    </w:p>
    <w:p>
      <w:pPr>
        <w:ind w:left="420"/>
      </w:pPr>
      <w:r>
        <w:t xml:space="preserve">8. entgegen § 24 nicht dafür sorgt, dass eine Stauanweisung festgelegt wird;</w:t>
      </w:r>
    </w:p>
    <w:p>
      <w:pPr>
        <w:ind w:left="420"/>
      </w:pPr>
      <w:r>
        <w:t xml:space="preserve">9. entgegen § 25 eine dort genannte Person oder Stelle nicht, nicht richtig oder nicht rechtzeitig informiert;</w:t>
      </w:r>
    </w:p>
    <w:p>
      <w:pPr>
        <w:ind w:left="420"/>
      </w:pPr>
      <w:r>
        <w:t xml:space="preserve">10. entgegen § 26</w:t>
      </w:r>
    </w:p>
    <w:p>
      <w:pPr>
        <w:ind w:left="780"/>
      </w:pPr>
      <w:r>
        <w:t xml:space="preserve">a) Absatz 1 Satz 1 eine dort genannte Vorschrift nicht beachtet,</w:t>
      </w:r>
    </w:p>
    <w:p>
      <w:pPr>
        <w:ind w:left="780"/>
      </w:pPr>
      <w:r>
        <w:t xml:space="preserve">b) Absatz 1 Satz 2 einen Sicherungsplan nicht oder nicht rechtzeitig einführt oder nicht oder nicht richtig anwendet,</w:t>
      </w:r>
    </w:p>
    <w:p>
      <w:pPr>
        <w:ind w:left="780"/>
      </w:pPr>
      <w:r>
        <w:t xml:space="preserve">c) Absatz 2 eine dort genannte Stelle nicht, nicht richtig oder nicht rechtzeitig unterstützt oder eine Auskunft nicht, nicht richtig, nicht vollständig oder nicht rechtzeitig erteilt,</w:t>
      </w:r>
    </w:p>
    <w:p>
      <w:pPr>
        <w:ind w:left="780"/>
      </w:pPr>
      <w:r>
        <w:t xml:space="preserve">d) Absatz 3 Nummer 1 nicht dafür sorgt, dass eine dort genannte Person unterwiesen wird oder eine Aufzeichnung mindestens fünf Jahre aufbewahrt wird, oder</w:t>
      </w:r>
    </w:p>
    <w:p>
      <w:pPr>
        <w:ind w:left="780"/>
      </w:pPr>
      <w:r>
        <w:t xml:space="preserve">e) Absatz 3 Nummer 2 nicht dafür sorgt, dass eine dort genannte Person unterwiesen wird.</w:t>
      </w:r>
    </w:p>
    <w:p>
      <w:r>
        <w:t xml:space="preserve">(2) Die Zuständigkeit für die Verfolgung und Ahndung von Ordnungswidrigkeiten nach Absatz 1 wird im Bereich seewärts der Begrenzung des deutschen Küstenmeeres, der Bundeswasserstraßen und der bundeseigenen Häfen auf die Generaldirektion Wasserstraßen und Schifffahrt übertragen.</w:t>
      </w:r>
    </w:p>
    <w:p>
      <w:r>
        <w:rPr>
          <w:color w:val="555555"/>
          <w:sz w:val="17"/>
        </w:rPr>
        <w:t xml:space="preserve">Zitiervorschlag: § 27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