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GGVSee 2015 — Pflichten des Empfängers</w:t>
      </w:r>
    </w:p>
    <w:p>
      <w:r>
        <w:rPr>
          <w:color w:val="555555"/>
          <w:sz w:val="18"/>
        </w:rPr>
        <w:t xml:space="preserve">Gefahrgutverordnung See</w:t>
      </w:r>
    </w:p>
    <w:p>
      <w:r>
        <w:rPr>
          <w:color w:val="555555"/>
          <w:sz w:val="18"/>
        </w:rPr>
        <w:t xml:space="preserve">Stand: 31.10.2019 (konsolidierte Textfassung, kein amtliches Inkrafttretensdatum)</w:t>
      </w:r>
    </w:p>
    <w:p>
      <w:r>
        <w:t xml:space="preserve">Der Empfänger hat so bald wie möglich oder im Falle einer Notfallexpositionssituation sofort den Versender, den Beförderer und weitere an der Beförderung beteiligte Stellen nach Absatz 1.5.6.1.1 Gliederungseinheit ii in Verbindung mit Absatz 1.5.6.1.3 des IMDG-Codes über die Nichteinhaltung eines Grenzwertes für die Dosisleistung oder die Kontamination zu informieren.</w:t>
      </w:r>
    </w:p>
    <w:p>
      <w:r>
        <w:rPr>
          <w:color w:val="555555"/>
          <w:sz w:val="17"/>
        </w:rPr>
        <w:t xml:space="preserve">Zitiervorschlag: § 25 GGVSee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https://recht.nulegal.eu/gesetze/GGVSee%202015/25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