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GGVSee 2015 — Pflichten des Schiffsführers</w:t>
      </w:r>
    </w:p>
    <w:p>
      <w:r>
        <w:rPr>
          <w:color w:val="555555"/>
          <w:sz w:val="18"/>
        </w:rPr>
        <w:t xml:space="preserve">Gefahrgutverordnung See</w:t>
      </w:r>
    </w:p>
    <w:p>
      <w:r>
        <w:rPr>
          <w:color w:val="555555"/>
          <w:sz w:val="18"/>
        </w:rPr>
        <w:t xml:space="preserve">Stand: 31.10.2019 (konsolidierte Textfassung, kein amtliches Inkrafttretensdatum)</w:t>
      </w:r>
    </w:p>
    <w:p>
      <w:r>
        <w:t xml:space="preserve">Der Schiffsführer</w:t>
      </w:r>
    </w:p>
    <w:p>
      <w:pPr>
        <w:ind w:left="420"/>
      </w:pPr>
      <w:r>
        <w:t xml:space="preserve">1. hat dafür zu sorgen, dass alle mit Notfallmaßnahmen befassten Besatzungsmitglieder vor der Verladung gefährlicher Güter oder bei Betreten des Schiffes nach § 4 Absatz 5 unterrichtet werden;</w:t>
      </w:r>
    </w:p>
    <w:p>
      <w:pPr>
        <w:ind w:left="420"/>
      </w:pPr>
      <w:r>
        <w:t xml:space="preserve">2. muss dafür sorgen, dass das Anbringen der Hinweistafeln nach § 4 Absatz 2 Satz 2 und die Befolgung des Verbots nach § 4 Absatz 2 Satz 1 und Absatz 3 Satz 1 erfolgt;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muss die Ladung während der Beförderung nach § 4 Absatz 6 überwachen;</w:t>
      </w:r>
    </w:p>
    <w:p>
      <w:pPr>
        <w:ind w:left="420"/>
      </w:pPr>
      <w:r>
        <w:t xml:space="preserve">5. hat dafür zu sorgen, dass sich die Ausrüstung nach § 4 Absatz 7 Satz 3 und 4 jederzeit in einem einsatzbereiten Zustand befindet und die Besatzungsmitglieder die Schutzausrüstung und Schutzkleidung in den vorgesehenen Fällen tragen;</w:t>
      </w:r>
    </w:p>
    <w:p>
      <w:pPr>
        <w:ind w:left="420"/>
      </w:pPr>
      <w:r>
        <w:t xml:space="preserve">6. muss bei Unfällen die zuständige Behörde nach § 4 Absatz 8 unterrichten;</w:t>
      </w:r>
    </w:p>
    <w:p>
      <w:pPr>
        <w:ind w:left="420"/>
      </w:pPr>
      <w:r>
        <w:t xml:space="preserve">7. hat dafür zu sorgen, dass die Ladung nach § 5 Absatz 2 gesichert ist;</w:t>
      </w:r>
    </w:p>
    <w:p>
      <w:pPr>
        <w:ind w:left="420"/>
      </w:pPr>
      <w:r>
        <w:t xml:space="preserve">8. hat die vorgeschriebenen Unterlagen nach § 6 Absatz 5 mitzuführen;</w:t>
      </w:r>
    </w:p>
    <w:p>
      <w:pPr>
        <w:ind w:left="420"/>
      </w:pPr>
      <w:r>
        <w:t xml:space="preserve">9. muss die vorgeschriebenen Unterlagen oder die gespeicherten Informationen nach § 6 Absatz 7 vorhalten und aufbewahren und die Unterlagen oder den Ausdruck aus den Datenverarbeitungssystemen nach § 6 Absatz 8 auf Verlangen zur Prüfung vorlegen;</w:t>
      </w:r>
    </w:p>
    <w:p>
      <w:pPr>
        <w:ind w:left="420"/>
      </w:pPr>
      <w:r>
        <w:t xml:space="preserve">10. hat sicherzustellen, dass die Stauanweisungen nach § 5 Absatz 1 sowie die Stau- und Trennvorschriften nach den Kapiteln 7.1, 7.2, 7.4 bis 7.7 in Verbindung mit Abschnitt 3.1.4 und Kapitel 3.2 des IMDG-Codes oder die Stau- und Trennvorschriften nach Abschnitt 9.3 des IMSBC-Codes und die Vorschriften des Kapitels II-2 Regel 19 des SOLAS-Übereinkommens, soweit anwendbar, eingehalten werden;</w:t>
      </w:r>
    </w:p>
    <w:p>
      <w:pPr>
        <w:ind w:left="420"/>
      </w:pPr>
      <w:r>
        <w:t xml:space="preserve">11. darf gefährliche Schüttgüter der Gruppe B des IMSBC-Codes nur übernehmen, wenn die Laderäume die jeweils anwendbaren Anforderungen nach Kapitel II-2 Regel 19, Tabelle 19.2 des SOLAS-Übereinkommens erfüllen und die auf den zutreffenden Stoffmerkblättern in Anhang 1 des IMSBC-Codes aufgeführten Beförderungsbedingungen eingehalten sind;</w:t>
      </w:r>
    </w:p>
    <w:p>
      <w:pPr>
        <w:ind w:left="420"/>
      </w:pPr>
      <w:r>
        <w:t xml:space="preserve">12. darf gefährliche Chemikalien, die dem IBC-Code oder dem BCH-Code unterliegen, nur übernehmen, wenn die für das jeweilige Gut in Kapitel 17 des IBC-Codes oder Kapitel IV des BCH-Codes aufgeführten Mindestanforderungen eingehalten sind, und</w:t>
      </w:r>
    </w:p>
    <w:p>
      <w:pPr>
        <w:ind w:left="420"/>
      </w:pPr>
      <w:r>
        <w:t xml:space="preserve">13. darf verflüssigte Gase, die dem IGC-Code oder dem GC-Code unterliegen, nur übernehmen, wenn die für das jeweilige Gut in Kapitel 19 des IGC-Codes oder Kapitel XIX des GC-Codes aufgeführten Mindestanforderungen eingehalten sind.</w:t>
      </w:r>
    </w:p>
    <w:p>
      <w:r>
        <w:rPr>
          <w:color w:val="555555"/>
          <w:sz w:val="17"/>
        </w:rPr>
        <w:t xml:space="preserve">Zitiervorschlag: § 23 GGVSee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https://recht.nulegal.eu/gesetze/GGVSee%202015/23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