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GGVSee 2015 — Pflichten des Reeders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Der Reeder</w:t>
      </w:r>
    </w:p>
    <w:p>
      <w:pPr>
        <w:ind w:left="420"/>
      </w:pPr>
      <w:r>
        <w:t xml:space="preserve">1. darf ein Seeschiff zur Beförderung gefährlicher Güter nur einsetzen, wenn es die Anforderungen nach Kapitel II-2 Regel 19 des SOLAS-Übereinkommens erfüllt;</w:t>
      </w:r>
    </w:p>
    <w:p>
      <w:pPr>
        <w:ind w:left="420"/>
      </w:pPr>
      <w:r>
        <w:t xml:space="preserve">2. hat dafür zu sorgen, dass ein Seeschiff für die Beförderung gefährlicher Güter nach § 4 Absatz 7 Satz 1 und 2 ausgerüstet ist;</w:t>
      </w:r>
    </w:p>
    <w:p>
      <w:pPr>
        <w:ind w:left="420"/>
      </w:pPr>
      <w:r>
        <w:t xml:space="preserve">3. hat dafür zu sorgen, dass die in § 6 Absatz 5 Nummer 1, Nummer 2 Buchstabe a, b, e und f, Nummer 3 Buchstabe b und d und Nummer 4 Buchstabe a und b aufgeführten Unterlagen vom Schiffsführer mitgeführt werden, und</w:t>
      </w:r>
    </w:p>
    <w:p>
      <w:pPr>
        <w:ind w:left="420"/>
      </w:pPr>
      <w:r>
        <w:t xml:space="preserve">4. hat dafür zu sorgen, dass der Schiffsführer und der für die Ladung verantwortliche Offizier nach § 4 Absatz 11 Satz 1 und 2 unterwiesen werden und die Aufzeichnungen darüber nach § 4 Absatz 11 Satz 4 und 5 aufbewahrt und nach Ablauf der Aufbewahrungsfrist gelöscht werden.</w:t>
      </w:r>
    </w:p>
    <w:p>
      <w:r>
        <w:rPr>
          <w:color w:val="555555"/>
          <w:sz w:val="17"/>
        </w:rPr>
        <w:t xml:space="preserve">Zitiervorschlag: § 22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