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GGVSee 2015 — Pflichten des Beförderers</w:t>
      </w:r>
    </w:p>
    <w:p>
      <w:r>
        <w:rPr>
          <w:color w:val="555555"/>
          <w:sz w:val="18"/>
        </w:rPr>
        <w:t xml:space="preserve">Gefahrgutverordnung See</w:t>
      </w:r>
    </w:p>
    <w:p>
      <w:r>
        <w:rPr>
          <w:color w:val="555555"/>
          <w:sz w:val="18"/>
        </w:rPr>
        <w:t xml:space="preserve">Stand: 31.10.2019 (konsolidierte Textfassung, kein amtliches Inkrafttretensdatum)</w:t>
      </w:r>
    </w:p>
    <w:p>
      <w:r>
        <w:t xml:space="preserve">Der Beförderer und der Beauftragte des Beförderers</w:t>
      </w:r>
    </w:p>
    <w:p>
      <w:pPr>
        <w:ind w:left="420"/>
      </w:pPr>
      <w:r>
        <w:t xml:space="preserve">1. dürfen verpackte gefährliche Güter zur Beförderung nur annehmen, wenn ihre Beförderung nicht nach Abschnitt 1.1.3, nach Unterabschnitt 2.1.1.2, nach den Abschnitten 2.2.4 oder 2.3.5, nach Unterabschnitt 2.6.2.5, nach Abschnitt 2.8.3, nach Unterabschnitt 3.1.1.4 oder nach Kapitel 3.3 Sondervorschriften 349, 350, 351, 352, 353 oder 900 des IMDG-Codes verboten ist;</w:t>
      </w:r>
    </w:p>
    <w:p>
      <w:pPr>
        <w:ind w:left="420"/>
      </w:pPr>
      <w:r>
        <w:t xml:space="preserve">2. haben dem Schiffsführer vor Verladung ein Beförderungsdokument nach Abschnitt 5.4.1 des IMDG-Codes, die nach Abschnitt 5.4.2 des IMDG-Codes geforderte Bescheinigung (CTU-Packzertifikat), die Unterlagen nach § 3 Absatz 5 Satz 1 Nummer 2 und 3, wenn zutreffend, und alle weiteren gemäß Absatz 5.1.5.4.2, Abschnitt 5.4.4 und den Unterabschnitten 5.5.2.4 und 5.5.3.7 des IMDG-Codes für die Beförderung vorgeschriebenen Dokumente oder ein Gefahrgutmanifest oder einen Stauplan aller zu ladenden gefährlichen Güter zu übergeben oder elektronisch zu übermitteln;</w:t>
      </w:r>
    </w:p>
    <w:p>
      <w:pPr>
        <w:ind w:left="420"/>
      </w:pPr>
      <w:r>
        <w:t xml:space="preserve">3. haben Kopien des Beförderungsdokuments nach Abschnitt 5.4.1 des IMDG-Codes, der nach Abschnitt 5.4.2 des IMDG-Codes geforderten Bescheinigung (CTU-Packzertifikat), der Unterlagen nach § 3 Absatz 5 Satz 1 Nummer 2 und 3, wenn zutreffend, und aller weiteren gemäß Absatz 5.1.5.4.2, Abschnitt 5.4.4 und den Unterabschnitten 5.5.2.4 und 5.5.3.7 des IMDG-Codes für die Beförderung vorgeschriebenen Dokumente für einen Zeitraum von drei Monaten ab Ende der Beförderung nach Unterabschnitt 5.4.6.1 des IMDG-Codes aufzubewahren und nach Ablauf der gesetzlichen Aufbewahrungsfrist unverzüglich zu löschen;</w:t>
      </w:r>
    </w:p>
    <w:p>
      <w:pPr>
        <w:ind w:left="420"/>
      </w:pPr>
      <w:r>
        <w:t xml:space="preserve">4. haben so bald wie möglich oder im Falle einer Notfallexpositionssituation sofort den Versender, den Empfänger und weitere an der Beförderung beteiligte Stellen nach Absatz 1.5.6.1.1 Gliederungseinheit i des IMDG-Codes über die Nichteinhaltung eines Grenzwertes für die Dosisleistung oder die Kontamination zu informieren;</w:t>
      </w:r>
    </w:p>
    <w:p>
      <w:pPr>
        <w:ind w:left="420"/>
      </w:pPr>
      <w:r>
        <w:t xml:space="preserve">5. haben dafür zu sorgen, dass die in § 6 Absatz 5 Nummer 2 Buchstabe c und d, Nummer 3 Buchstabe a und c und Nummer 4 Buchstabe c, d und e aufgeführten Unterlagen vom Schiffsführer mitgeführt werden;</w:t>
      </w:r>
    </w:p>
    <w:p>
      <w:pPr>
        <w:ind w:left="420"/>
      </w:pPr>
      <w:r>
        <w:t xml:space="preserve">6. dürfen gefährliche Schüttgüter zur Beförderung nur annehmen, wenn sie nach den Stoffmerkblättern in Anhang 1 des IMSBC-Codes für die Beförderung zugelassen sind oder für gefährliche Schüttgüter, die in den Stoffmerkblättern in Anhang 1 des IMSBC-Codes nicht namentlich aufgeführt und der Gruppe B zuzuordnen sind, die nach Ziffer 1.3.1.1 des IMSBC-Codes geforderte Ausnahme vorliegt, und</w:t>
      </w:r>
    </w:p>
    <w:p>
      <w:pPr>
        <w:ind w:left="420"/>
      </w:pPr>
      <w:r>
        <w:t xml:space="preserve">7. dürfen gefährliche Massengüter in flüssiger oder verflüssigter Form zur Beförderung nur annehmen, wenn sie jeweils nach dem Kapitel 17 oder 18 des IBC-Codes, Kapitel 19 des IGC-Codes oder Kapitel XIX des GC-Codes für die Beförderung zugelassen sind.</w:t>
      </w:r>
    </w:p>
    <w:p>
      <w:r>
        <w:rPr>
          <w:color w:val="555555"/>
          <w:sz w:val="17"/>
        </w:rPr>
        <w:t xml:space="preserve">Zitiervorschlag: § 21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