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GGVSee 2015 — Pflichten des Auftraggebers des Beförderers</w:t>
      </w:r>
    </w:p>
    <w:p>
      <w:r>
        <w:rPr>
          <w:color w:val="555555"/>
          <w:sz w:val="18"/>
        </w:rPr>
        <w:t xml:space="preserve">Gefahrgutverordnung See</w:t>
      </w:r>
    </w:p>
    <w:p>
      <w:r>
        <w:rPr>
          <w:color w:val="555555"/>
          <w:sz w:val="18"/>
        </w:rPr>
        <w:t xml:space="preserve">Stand: 31.10.2019 (konsolidierte Textfassung, kein amtliches Inkrafttretensdatum)</w:t>
      </w:r>
    </w:p>
    <w:p>
      <w:r>
        <w:t xml:space="preserve">Wer einen Beförderer mit der Beförderung gefährlicher Güter in verpackter Form mit Seeschiffen beauftragt, hat dem Beförderer vor der Verladung folgende Dokumente zu übergeben oder zu übermitteln:</w:t>
      </w:r>
    </w:p>
    <w:p>
      <w:pPr>
        <w:ind w:left="420"/>
      </w:pPr>
      <w:r>
        <w:t xml:space="preserve">1. ein Beförderungsdokument, das die in Abschnitt 5.4.1 des IMDG-Codes und § 6 Absatz 1 Nummer 1 geforderten Angaben enthält;</w:t>
      </w:r>
    </w:p>
    <w:p>
      <w:pPr>
        <w:ind w:left="420"/>
      </w:pPr>
      <w:r>
        <w:t xml:space="preserve">2. die nach Abschnitt 5.4.2 des IMDG-Codes geforderte Bescheinigung (CTU-Packzertifikat);</w:t>
      </w:r>
    </w:p>
    <w:p>
      <w:pPr>
        <w:ind w:left="420"/>
      </w:pPr>
      <w:r>
        <w:t xml:space="preserve">3. die Unterlagen nach § 3 Absatz 5 Satz 1 Nummer 2 und 3, wenn zutreffend, und</w:t>
      </w:r>
    </w:p>
    <w:p>
      <w:pPr>
        <w:ind w:left="420"/>
      </w:pPr>
      <w:r>
        <w:t xml:space="preserve">4. alle weiteren gemäß Absatz 5.1.5.4.2, Abschnitt 5.4.4 und den Unterabschnitten 5.5.2.4 und 5.5.3.7 des IMDG-Codes für die Beförderung vorgeschriebenen Dokumente.</w:t>
      </w:r>
    </w:p>
    <w:p>
      <w:r>
        <w:rPr>
          <w:color w:val="555555"/>
          <w:sz w:val="17"/>
        </w:rPr>
        <w:t xml:space="preserve">Zitiervorschlag: § 19 GGVSee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https://recht.nulegal.eu/gesetze/GGVSee%202015/19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