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GGVSee 2015 — Zuständigkeiten des Umweltbundesamtes</w:t>
      </w:r>
    </w:p>
    <w:p>
      <w:r>
        <w:rPr>
          <w:color w:val="555555"/>
          <w:sz w:val="18"/>
        </w:rPr>
        <w:t xml:space="preserve">Gefahrgutverordnung See</w:t>
      </w:r>
    </w:p>
    <w:p>
      <w:r>
        <w:rPr>
          <w:color w:val="555555"/>
          <w:sz w:val="18"/>
        </w:rPr>
        <w:t xml:space="preserve">Stand: 31.10.2019 (konsolidierte Textfassung, kein amtliches Inkrafttretensdatum)</w:t>
      </w:r>
    </w:p>
    <w:p>
      <w:r>
        <w:t xml:space="preserve">Das Umweltbundesamt ist zuständig für die Zustimmung nach Unterabschnitt 2.10.2.6 des IMDG-Codes.</w:t>
      </w:r>
    </w:p>
    <w:p>
      <w:r>
        <w:rPr>
          <w:color w:val="555555"/>
          <w:sz w:val="17"/>
        </w:rPr>
        <w:t xml:space="preserve">Zitiervorschlag: § 14 GGVSee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https://recht.nulegal.eu/gesetze/GGVSee%202015/14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