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GGVSee 2015 — Zuständigkeiten des Bundesamtes für Ausrüstung, Informationstechnik und Nutzung der Bundeswehr</w:t>
      </w:r>
    </w:p>
    <w:p>
      <w:r>
        <w:rPr>
          <w:color w:val="555555"/>
          <w:sz w:val="18"/>
        </w:rPr>
        <w:t xml:space="preserve">Gefahrgutverordnung See</w:t>
      </w:r>
    </w:p>
    <w:p>
      <w:r>
        <w:rPr>
          <w:color w:val="555555"/>
          <w:sz w:val="18"/>
        </w:rPr>
        <w:t xml:space="preserve">Stand: 31.10.2019 (konsolidierte Textfassung, kein amtliches Inkrafttretensdatum)</w:t>
      </w:r>
    </w:p>
    <w:p>
      <w:r>
        <w:t xml:space="preserve">Das Bundesamt für Ausrüstung, Informationstechnik und Nutzung der Bundeswehr ist, soweit es sich um den militärischen Bereich handelt, zuständige Behörde für Aufgaben nach</w:t>
      </w:r>
    </w:p>
    <w:p>
      <w:pPr>
        <w:ind w:left="420"/>
      </w:pPr>
      <w:r>
        <w:t xml:space="preserve">1. Teil 2 des IMDG-Codes in Bezug auf explosive Stoffe und Gegenstände mit Explosivstoff,</w:t>
      </w:r>
    </w:p>
    <w:p>
      <w:pPr>
        <w:ind w:left="420"/>
      </w:pPr>
      <w:r>
        <w:t xml:space="preserve">2. Kapitel 3.3 des IMDG-Codes in Bezug auf explosive Stoffe und Gegenstände mit Explosivstoff und</w:t>
      </w:r>
    </w:p>
    <w:p>
      <w:pPr>
        <w:ind w:left="420"/>
      </w:pPr>
      <w:r>
        <w:t xml:space="preserve">3. Kapitel 4.1 des IMDG-Codes in Bezug auf explosive Stoffe und Gegenstände mit Explosivstoff.</w:t>
      </w:r>
    </w:p>
    <w:p>
      <w:r>
        <w:rPr>
          <w:color w:val="555555"/>
          <w:sz w:val="17"/>
        </w:rPr>
        <w:t xml:space="preserve">Zitiervorschlag: § 11 GGVSee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https://recht.nulegal.eu/gesetze/GGVSee%202015/11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