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GGVSee 2015 — Zuständigkeiten der durch das Bundesministerium der Verteidigung bestimmten Sachverständigen und Dienststellen</w:t>
      </w:r>
    </w:p>
    <w:p>
      <w:r>
        <w:rPr>
          <w:color w:val="555555"/>
          <w:sz w:val="18"/>
        </w:rPr>
        <w:t xml:space="preserve">Gefahrgutverordnung See</w:t>
      </w:r>
    </w:p>
    <w:p>
      <w:r>
        <w:rPr>
          <w:color w:val="555555"/>
          <w:sz w:val="18"/>
        </w:rPr>
        <w:t xml:space="preserve">Stand: 31.10.2019 (konsolidierte Textfassung, kein amtliches Inkrafttretensdatum)</w:t>
      </w:r>
    </w:p>
    <w:p>
      <w:r>
        <w:t xml:space="preserve">(1) Neben den zuständigen Behörden des Bundes und der Länder sind für die Durchführung dieser Verordnung auch Dienststellen, die das Bundesministerium der Verteidigung bestimmt, zuständig für die Überwachung nach § 9 Absatz 1 und 2 des Gefahrgutbeförderungsgesetzes bei der Verladung auf Seeschiffe in Hafenanlagen im Auftrag der Bundeswehr oder ausländischer Streitkräfte einschließlich der Festlegung von Stau- und Trennvorschriften.</w:t>
      </w:r>
    </w:p>
    <w:p>
      <w:r>
        <w:t xml:space="preserve">(2) Die vom Bundesministerium der Verteidigung bestellten Sachverständigen oder Dienststellen sind für die Bundeswehr und die ausländischen Streitkräfte zuständige Behörden für</w:t>
      </w:r>
    </w:p>
    <w:p>
      <w:pPr>
        <w:ind w:left="420"/>
      </w:pPr>
      <w:r>
        <w:t xml:space="preserve">1. die Zulassung, erstmalige und wiederkehrende Prüfung von Druckgefäßen nach den Unterabschnitten 6.2.1.4 bis 6.2.1.6 des IMDG-Codes,</w:t>
      </w:r>
    </w:p>
    <w:p>
      <w:pPr>
        <w:ind w:left="420"/>
      </w:pPr>
      <w:r>
        <w:t xml:space="preserve">2. die Inspektion und Prüfung der IBC nach Unterabschnitt 6.5.4.4 des IMDG-Codes,</w:t>
      </w:r>
    </w:p>
    <w:p>
      <w:pPr>
        <w:ind w:left="420"/>
      </w:pPr>
      <w:r>
        <w:t xml:space="preserve">3. die Baumusterprüfung sowie die erstmalige, wiederkehrende und außerordentliche Prüfung von ortsbeweglichen Tanks und Gascontainern mit mehreren Elementen (MEGC) nach den Unterabschnitten 6.7.2.19, 6.7.3.15, 6.7.4.14 und 6.7.5.12 des IMDG-Codes und</w:t>
      </w:r>
    </w:p>
    <w:p>
      <w:pPr>
        <w:ind w:left="420"/>
      </w:pPr>
      <w:r>
        <w:t xml:space="preserve">4. die Baumusterprüfung sowie die erstmalige, wiederkehrende und außerordentliche Prüfung von Tanks der Straßentankfahrzeuge nach den Absätzen 6.8.2.2.1 und 6.8.2.2.2 und die Prüfungen im Zusammenhang mit der Ausstellung der Bescheinigung nach den Absätzen 6.8.3.1.3.2, 6.8.3.2.3.2 und 6.8.3.3.3.2 des IMDG-Codes.</w:t>
      </w:r>
    </w:p>
    <w:p>
      <w:r>
        <w:rPr>
          <w:color w:val="555555"/>
          <w:sz w:val="17"/>
        </w:rPr>
        <w:t xml:space="preserve">Zitiervorschlag: § 10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