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GGVSEB — Zuständigkeiten der vom Bundesministerium der Verteidigung oder vom Bundesministerium des Innern und für Heimat bestellten Sachverständigen oder Dienststellen</w:t>
      </w:r>
    </w:p>
    <w:p>
      <w:r>
        <w:rPr>
          <w:color w:val="555555"/>
          <w:sz w:val="18"/>
        </w:rPr>
        <w:t xml:space="preserve">Gefahrgutverordnung Straße, Eisenbahn und Binnenschifffahrt</w:t>
      </w:r>
    </w:p>
    <w:p>
      <w:r>
        <w:rPr>
          <w:color w:val="555555"/>
          <w:sz w:val="18"/>
        </w:rPr>
        <w:t xml:space="preserve">Stand: 29.08.2023 (konsolidierte Textfassung, kein amtliches Inkrafttretensdatum)</w:t>
      </w:r>
    </w:p>
    <w:p>
      <w:r>
        <w:t xml:space="preserve">(1) Die vom Bundesministerium der Verteidigung bestellten Sachverständigen oder Dienststellen sind für die Bundeswehr und die ausländischen Streitkräfte zuständige Behörden für</w:t>
      </w:r>
    </w:p>
    <w:p>
      <w:pPr>
        <w:ind w:left="420"/>
      </w:pPr>
      <w:r>
        <w:t xml:space="preserve">1. Aufgaben nach den Teilen 8 und 9 ADR;</w:t>
      </w:r>
    </w:p>
    <w:p>
      <w:pPr>
        <w:ind w:left="420"/>
      </w:pPr>
      <w:r>
        <w:t xml:space="preserve">2. die Zulassung, erstmalige und wiederkehrende Prüfung von Druckgefäßen nach den Unterabschnitten 6.2.1.4 bis 6.2.1.6 ADR, die Inspektion und Prüfung der IBC nach Unterabschnitt 6.5.4.4 ADR, die Baumusterprüfung von ortsbeweglichen Tanks und UN-MEGC nach den Absätzen 6.7.2.18.1, 6.7.3.14.1, 6.7.4.13.1 und 6.7.5.11.1 in Verbindung mit Kapitel 4.2 und den Absätzen 6.7.2.19.9, 6.7.3.15.9, 6.7.4.14.10 und 6.7.5.12.7 ADR, die erstmalige und wiederkehrende Prüfung, Zwischenprüfung und außerordentliche Prüfungen der Tankkörper und der Ausrüstungsteile von ortsbeweglichen Tanks und UN-MEGC nach Kapitel 6.7 ADR und die Zulassung des Baumusters und die Prüfungen der Tanks nach den Unterabschnitten 6.8.2.3 und 6.8.2.4 ADR;</w:t>
      </w:r>
    </w:p>
    <w:p>
      <w:pPr>
        <w:ind w:left="420"/>
      </w:pPr>
      <w:r>
        <w:t xml:space="preserve">3. die Prüfungen von Tanks, sofern diese Prüfungen nicht in den Geltungsbereich der Ortsbewegliche-Druckgeräte-Verordnung fallen;</w:t>
      </w:r>
    </w:p>
    <w:p>
      <w:pPr>
        <w:ind w:left="420"/>
      </w:pPr>
      <w:r>
        <w:t xml:space="preserve">4. das Führen eines Verzeichnisses nach Unterabschnitt 1.10.1.6 ADR über alle gültigen Schulungsbescheinigungen für Fahrzeugführer und</w:t>
      </w:r>
    </w:p>
    <w:p>
      <w:pPr>
        <w:ind w:left="420"/>
      </w:pPr>
      <w:r>
        <w:t xml:space="preserve">5. die Bescheinigung nach § 35 Absatz 4 und die Fahrwegbestimmung nach § 35a Absatz 3,</w:t>
      </w:r>
    </w:p>
    <w:p>
      <w:r>
        <w:t xml:space="preserve">soweit dies Gründe der Verteidigung erfordern.</w:t>
      </w:r>
    </w:p>
    <w:p>
      <w:r>
        <w:t xml:space="preserve">(2) Die vom Bundesministerium des Innern und für Heimat bestellten Sachverständigen oder Dienststellen sind zuständige Behörden für</w:t>
      </w:r>
    </w:p>
    <w:p>
      <w:pPr>
        <w:ind w:left="420"/>
      </w:pPr>
      <w:r>
        <w:t xml:space="preserve">1. Aufgaben nach den Teilen 8 und 9 ADR;</w:t>
      </w:r>
    </w:p>
    <w:p>
      <w:pPr>
        <w:ind w:left="420"/>
      </w:pPr>
      <w:r>
        <w:t xml:space="preserve">2. die Zulassung des Baumusters und die Prüfungen der Tanks nach den Unterabschnitten 6.8.2.3 und 6.8.2.4 ADR sowie die Inspektion und Prüfung der IBC nach Unterabschnitt 6.5.4.4 ADR;</w:t>
      </w:r>
    </w:p>
    <w:p>
      <w:pPr>
        <w:ind w:left="420"/>
      </w:pPr>
      <w:r>
        <w:t xml:space="preserve">3. das Führen eines Verzeichnisses nach Unterabschnitt 1.10.1.6 ADR über alle gültigen Schulungsbescheinigungen für Fahrzeugführer und</w:t>
      </w:r>
    </w:p>
    <w:p>
      <w:pPr>
        <w:ind w:left="420"/>
      </w:pPr>
      <w:r>
        <w:t xml:space="preserve">4. die Bescheinigung nach § 35 Absatz 4 und die Fahrwegbestimmung nach § 35a Absatz 3,</w:t>
      </w:r>
    </w:p>
    <w:p>
      <w:r>
        <w:t xml:space="preserve">soweit dies für den Dienstbereich des Bundesministeriums des Innern und für Heimat erforderlich ist.</w:t>
      </w:r>
    </w:p>
    <w:p>
      <w:r>
        <w:t xml:space="preserve">(3) Die Zuständigkeit der nach Absatz 1 und 2 bestellten Dienststellen gilt auch für Überwachungsmaßnahmen nach § 9 Absatz 1 und 2 des Gefahrgutbeförderungsgesetzes innerhalb von Liegenschaften der Bundeswehr und der ausländischen Streitkräfte sowie von Liegenschaften im Dienstbereich des Bundesministeriums des Innern und für Heimat. Bei der Beförderung gefährlicher Güter auf der Straße durch die Bundeswehr oder durch ausländische Streitkräfte, auch wenn sich die Bundeswehr ziviler Unternehmen bedient, sind die nach Absatz 1 bestellten Dienststellen neben den nach Landesrecht zuständigen Behörden zur Überwachung befugt.</w:t>
      </w:r>
    </w:p>
    <w:p>
      <w:r>
        <w:rPr>
          <w:color w:val="555555"/>
          <w:sz w:val="17"/>
        </w:rPr>
        <w:t xml:space="preserve">Zitiervorschlag: § 7 GGVSEB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https://recht.nulegal.eu/gesetze/GGVSEB/7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