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GGVSEB — Zuständigkeiten des Bundesministeriums für Digitales und Verkehr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Das Bundesministerium für Digitales und Verkehr ist zuständige Behörde für</w:t>
      </w:r>
    </w:p>
    <w:p>
      <w:pPr>
        <w:ind w:left="420"/>
      </w:pPr>
      <w:r>
        <w:t xml:space="preserve">1. den Abschluss von Vereinbarungen nach Abschnitt 1.5.1 ADR/RID oder Abkommen nach Abschnitt 1.5.1 ADN und deren Übersendung an die UNECE/OTIF;</w:t>
      </w:r>
    </w:p>
    <w:p>
      <w:pPr>
        <w:ind w:left="420"/>
      </w:pPr>
      <w:r>
        <w:t xml:space="preserve">2. Aufgaben nach Kapitel 1.15 ADN;</w:t>
      </w:r>
    </w:p>
    <w:p>
      <w:pPr>
        <w:ind w:left="420"/>
      </w:pPr>
      <w:r>
        <w:t xml:space="preserve">3. die Anerkennung von Untersuchungsstellen nach Unterabschnitt 1.16.4.1 ADN;</w:t>
      </w:r>
    </w:p>
    <w:p>
      <w:pPr>
        <w:ind w:left="420"/>
      </w:pPr>
      <w:r>
        <w:t xml:space="preserve">4. die Übermittlung eines Verzeichnisses anerkannter technischer Regelwerke nach Abschnitt 6.2.5 und Unterabschnitt 6.8.2.7 ADR/RID</w:t>
      </w:r>
    </w:p>
    <w:p>
      <w:pPr>
        <w:ind w:left="780"/>
      </w:pPr>
      <w:r>
        <w:t xml:space="preserve">a) im Straßenverkehr an das Sekretariat der UNECE und</w:t>
      </w:r>
    </w:p>
    <w:p>
      <w:pPr>
        <w:ind w:left="780"/>
      </w:pPr>
      <w:r>
        <w:t xml:space="preserve">b) im Eisenbahnverkehr an das Sekretariat der OTIF;</w:t>
      </w:r>
    </w:p>
    <w:p>
      <w:pPr>
        <w:ind w:left="420"/>
      </w:pPr>
      <w:r>
        <w:t xml:space="preserve">5. die Prüfung und Auswertung der Berichte über die Meldungen von Ereignissen mit gefährlichen Gütern nach Unterabschnitt 1.8.5.1 ADR/RID/ADN und erforderlichenfalls deren Weiterleitung an das Sekretariat der UNECE, der OTIF oder der Zentralkommission für die Rheinschifffahrt;</w:t>
      </w:r>
    </w:p>
    <w:p>
      <w:pPr>
        <w:ind w:left="420"/>
      </w:pPr>
      <w:r>
        <w:t xml:space="preserve">6. den Erlass von Vorschriften für Druckbehälter nach den Absätzen 9.3.1.23.1, 9.3.2.23.5 und 9.3.3.23.5 ADN;</w:t>
      </w:r>
    </w:p>
    <w:p>
      <w:pPr>
        <w:ind w:left="420"/>
      </w:pPr>
      <w:r>
        <w:t xml:space="preserve">7. den Erlass von Vorschriften für Druckbehälter, Armaturen und Druckleitungen nach den Absätzen 9.1.0.40.2.7, 9.3.1.40.2.7, 9.3.2.40.2.7 und 9.3.3.40.2.7 ADN;</w:t>
      </w:r>
    </w:p>
    <w:p>
      <w:pPr>
        <w:ind w:left="420"/>
      </w:pPr>
      <w:r>
        <w:t xml:space="preserve">8. die Übertragung der Befugnis zur Ausstellung von Zulassungszeugnissen auf eine Untersuchungsstelle nach Unterabschnitt 1.16.2.3 ADN und</w:t>
      </w:r>
    </w:p>
    <w:p>
      <w:pPr>
        <w:ind w:left="420"/>
      </w:pPr>
      <w:r>
        <w:t xml:space="preserve">9. die Veröffentlichung der Informationen nach Absatz 1.8.6.2.4.1 ADR/RID.</w:t>
      </w:r>
    </w:p>
    <w:p>
      <w:r>
        <w:rPr>
          <w:color w:val="555555"/>
          <w:sz w:val="17"/>
        </w:rPr>
        <w:t xml:space="preserve">Zitiervorschlag: § 6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