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GGVSEB — Übergangsbestimmungen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(1) Bis zum 30. Juni 2025 darf die Beförderung gefährlicher Güter noch nach den Vorschriften dieser Verordnung in der bis zum 31. Dezember 2024 geltenden Fassung durchgeführt werden.</w:t>
      </w:r>
    </w:p>
    <w:p>
      <w:r>
        <w:t xml:space="preserve">(2) Bei der Beförderung von geschmolzenem Aluminium der UN-Nummer 3257 nach der Übergangsvorschrift in Unterabschnitt 1.6.1.54 ADR/RID gelten weiterhin die Regelungen nach Anlage 3 dieser Verordnung in der bis zum 31. Dezember 2024 geltenden Fassung.</w:t>
      </w:r>
    </w:p>
    <w:p>
      <w:r>
        <w:rPr>
          <w:color w:val="555555"/>
          <w:sz w:val="17"/>
        </w:rPr>
        <w:t xml:space="preserve">Zitiervorschlag: § 38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