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36a GGVSEB — Beförderung gefährlicher Güter als behördliche Asservate</w:t>
      </w:r>
    </w:p>
    <w:p>
      <w:r>
        <w:rPr>
          <w:color w:val="555555"/>
          <w:sz w:val="18"/>
        </w:rPr>
        <w:t xml:space="preserve">Gefahrgutverordnung Straße, Eisenbahn und Binnenschifffahrt</w:t>
      </w:r>
    </w:p>
    <w:p>
      <w:r>
        <w:rPr>
          <w:color w:val="555555"/>
          <w:sz w:val="18"/>
        </w:rPr>
        <w:t xml:space="preserve">Stand: 05.09.2026 (konsolidierte Textfassung, kein amtliches Inkrafttretensdatum)</w:t>
      </w:r>
    </w:p>
    <w:p>
      <w:r>
        <w:t xml:space="preserve">Sofern es aus ermittlungstaktischen Gründen oder zur Wahrnehmung einer behördlichen Aufgabe erforderlich ist, dürfen gefährliche Güter, denen in Kapitel 3.2 Tabelle A Spalte 6 die Sondervorschrift 274 zugeordnet ist, im Straßen- und Eisenbahnverkehr durch Polizeibehörden des Bundes und der Länder sowie durch Zoll- und Justizbehörden und in deren Auftrag tätige private Unternehmen befördert werden, ohne dass die offiziellen Benennungen für die Beförderung mit der technischen Benennung des Gutes nach Absatz 3.1.2.8.1 ADR/RID ergänzt werden. Dies gilt auch für die Angabe in einem Beförderungspapier nach Absatz 5.4.1.1.1 Buchstabe b ADR/RID.</w:t>
      </w:r>
    </w:p>
    <w:p>
      <w:r>
        <w:rPr>
          <w:color w:val="555555"/>
          <w:sz w:val="17"/>
        </w:rPr>
        <w:t xml:space="preserve">Zitiervorschlag: § 36a GGVSEB</w:t>
      </w:r>
    </w:p>
    <w:p>
      <w:r>
        <w:rPr>
          <w:color w:val="555555"/>
          <w:sz w:val="17"/>
        </w:rPr>
        <w:t xml:space="preserve">Quelle: Bundesamt für Justiz, abgerufen 05.09.2026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https://recht.nulegal.eu/gesetze/GGVSEB/36a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