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35c GGVSEB — Ausnahmen zu den §§ 35 und 35a</w:t>
      </w:r>
    </w:p>
    <w:p>
      <w:r>
        <w:rPr>
          <w:color w:val="555555"/>
          <w:sz w:val="18"/>
        </w:rPr>
        <w:t xml:space="preserve">Gefahrgutverordnung Straße, Eisenbahn und Binnenschifffahrt</w:t>
      </w:r>
    </w:p>
    <w:p>
      <w:r>
        <w:rPr>
          <w:color w:val="555555"/>
          <w:sz w:val="18"/>
        </w:rPr>
        <w:t xml:space="preserve">Stand: 29.08.2023 (konsolidierte Textfassung, kein amtliches Inkrafttretensdatum)</w:t>
      </w:r>
    </w:p>
    <w:p>
      <w:r>
        <w:t xml:space="preserve">(1) Die §§ 35 und 35a gelten nicht für Beförderungen von entzündbaren Gasen nach § 35b Tabelle laufende Nummer 2, wenn Tanks verwendet werden,</w:t>
      </w:r>
    </w:p>
    <w:p>
      <w:pPr>
        <w:ind w:left="420"/>
      </w:pPr>
      <w:r>
        <w:t xml:space="preserve">1. die als Doppelwandtanks mit Vakuumisolierung gebaut sind,</w:t>
      </w:r>
    </w:p>
    <w:p>
      <w:pPr>
        <w:ind w:left="420"/>
      </w:pPr>
      <w:r>
        <w:t xml:space="preserve">2. deren Summe der Wanddicken der metallenen Außenwand und des Innentanks die Mindestwanddicke nach Absatz 6.8.2.1.18 ADR nicht unterschreitet,</w:t>
      </w:r>
    </w:p>
    <w:p>
      <w:pPr>
        <w:ind w:left="420"/>
      </w:pPr>
      <w:r>
        <w:t xml:space="preserve">3. deren Wanddicke des Innentanks die Mindestwanddicke nach Absatz 6.8.2.1.19 ADR nicht unterschreitet und</w:t>
      </w:r>
    </w:p>
    <w:p>
      <w:pPr>
        <w:ind w:left="420"/>
      </w:pPr>
      <w:r>
        <w:t xml:space="preserve">4. deren Innentanks aus austenitischen Chrom-Nickel- oder Chrom-Nickel-Molybdän-Stählen bestehen.</w:t>
      </w:r>
    </w:p>
    <w:p>
      <w:r>
        <w:t xml:space="preserve">(2) Für die Tanks nach Absatz 1 ist dies in der ADR-Zulassungsbescheinigung nach Unterabschnitt 9.1.3.1 ADR oder in einer besonderen Bescheinigung des Tankherstellers oder eines Sachverständigen oder Technischen Dienstes nach § 14 Absatz 4 zu bestätigen. Bescheinigungen nach der Ausnahme Nr. 40 (S) der Gefahrgut-Ausnahmeverordnung (GGAV) sowie der Ausnahme 13 (S) der GGAV gelten weiter.</w:t>
      </w:r>
    </w:p>
    <w:p>
      <w:r>
        <w:t xml:space="preserve">(3) § 35a gilt nicht für Beförderungen von entzündbaren flüssigen Stoffen nach § 35b Tabelle laufende Nummer 4, sofern die Beförderungen in</w:t>
      </w:r>
    </w:p>
    <w:p>
      <w:pPr>
        <w:ind w:left="420"/>
      </w:pPr>
      <w:r>
        <w:t xml:space="preserve">1. nicht wanddickenreduzierten zylindrischen Tanks nach Kapitel 6.7 oder 6.8 ADR, die nach einem Berechnungsdruck von mindestens 0,4 Mega-Pascal (4 Bar) bemessen sind oder mit einem Prüfdruck von mindestens 0,4 Mega-Pascal (4 Bar) geprüft sind,</w:t>
      </w:r>
    </w:p>
    <w:p>
      <w:pPr>
        <w:ind w:left="420"/>
      </w:pPr>
      <w:r>
        <w:t xml:space="preserve">2. Tanks, deren Sicherheitsniveau um 50 Prozent höher ist, als das eines Tanks aus Baustahl nach Absatz 6.8.2.1.18 ADR (Nummer 12 in Bild 21 des Forschungsberichts 203 „Sicherheitsniveaus von Transporttanks für Gefahrgut“[1] und Bekanntmachung zur Anwendung des Forschungsberichts 203[2]), wenn die Kenngröße f3 zur Ermittlung der Risikozahl mindestens 0,5 beträgt und das Sicherheitsniveau von der nach § 12 für die Baumusterprüfung zuständigen Stelle bescheinigt wurde,</w:t>
      </w:r>
    </w:p>
    <w:p>
      <w:pPr>
        <w:ind w:left="420"/>
      </w:pPr>
      <w:r>
        <w:t xml:space="preserve">3. Doppelwandtanks nach Absatz 6.8.2.1.20 Buchstabe b Nummer 2 und 3 linke Spalte oder</w:t>
      </w:r>
    </w:p>
    <w:p>
      <w:pPr>
        <w:ind w:left="420"/>
      </w:pPr>
      <w:r>
        <w:t xml:space="preserve">4. Doppelwandtanks nach Absatz 6.8.2.1.20 rechte Spalte, in Aufsetztanks nach Absatz 6.8.2.1.20 Buchstabe b letzter Satz linke Spalte oder in Saug-Druck-Tanks für Abfälle nach Kapitel 6.10 ADR</w:t>
      </w:r>
    </w:p>
    <w:p>
      <w:r>
        <w:t xml:space="preserve">durchgeführt werden.</w:t>
      </w:r>
    </w:p>
    <w:p>
      <w:r>
        <w:t xml:space="preserve">(4) Für die Tanks nach Absatz 3 Nummer 1 bis 3 ist dies in der ADR-Zulassungsbescheinigung nach Unterabschnitt 9.1.3.1 ADR oder in einer besonderen Bescheinigung des Tankherstellers oder eines Sachverständigen oder Technischen Dienstes nach § 14 Absatz 4 zu bestätigen. Bescheinigungen nach der Ausnahme Nr. 47 (S) der GGAV sowie der Ausnahme 14 (S) der GGAV gelten weiter.</w:t>
      </w:r>
    </w:p>
    <w:p>
      <w:r>
        <w:t xml:space="preserve">(5) § 35 gilt nicht für Beförderungen von entzündbaren Gasgemischen der UN-Nummer 1965 (§ 35b Tabelle laufende Nummer 2), sofern die gesamte Beförderungsstrecke im Geltungsbereich dieser Verordnung nicht mehr als 300 Kilometer beträgt.</w:t>
      </w:r>
    </w:p>
    <w:p>
      <w:r>
        <w:t xml:space="preserve">(6) Die §§ 35 und 35a gelten nicht für Beförderungen von entzündbaren Gasgemischen der UN-Nummer 1965 (§ 35b Tabelle laufende Nummer 2) in Tanks nach Abschnitt 1.2.1 ADR bis 11 000 kg Nettomasse in der Beförderungseinheit, sofern die Fahrzeuge mit einem automatischen Blockierverhinderer (ABV) nach § 41 Absatz 18 oder § 41b der Straßenverkehrs-Zulassungs-Ordnung ausgerüstet sind und dies in der ADR-Zulassungsbescheinigung nach Unterabschnitt 9.1.3.1 ADR vermerkt ist.</w:t>
      </w:r>
    </w:p>
    <w:p>
      <w:r>
        <w:t xml:space="preserve">(7) Die §§ 35 und 35a gelten nicht für Beförderungen von entzündbaren Gasgemischen der UN-Nummer 1965 (§ 35b Tabelle laufende Nummer 2) in Tanks nach Abschnitt 1.2.1 ADR von mehr als 11 000 kg bis 22 000 kg Nettomasse in der Beförderungseinheit, sofern die Fahrzeuge mit einem automatischen Blockierverhinderer (ABV) nach § 41 Absatz 18 oder § 41b der Straßenverkehrs-Zulassungs-Ordnung und mit einer Fahrdynamikregelung (Electronic Stability Control – ESC) ausgerüstet sind und dies in der ADR-Zulassungsbescheinigung nach Unterabschnitt 9.1.3.1 ADR vermerkt ist.</w:t>
      </w:r>
    </w:p>
    <w:p>
      <w:r>
        <w:t xml:space="preserve">(8) § 35 Absatz 2 gilt nicht für Beförderungen von entzündbaren Gasen der UN-Nummern 1038, 1961, 1966, 1972, 3138 und 3312 (§ 35b Tabelle laufende Nummer 2).</w:t>
      </w:r>
    </w:p>
    <w:p>
      <w:r>
        <w:t xml:space="preserve">(9) Die §§ 35 und 35a gelten nicht für Beförderungen zum Ort der Verwendung, sofern die gesamte Beförderungsstrecke im Geltungsbereich dieser Verordnung nicht mehr als 300 Kilometer beträgt, von explosiven Stoffen und Gegenständen mit Explosivstoff (§ 35b Tabelle laufende Nummer 1)</w:t>
      </w:r>
    </w:p>
    <w:p>
      <w:pPr>
        <w:ind w:left="420"/>
      </w:pPr>
      <w:r>
        <w:t xml:space="preserve">1. der UN-Nummern 0065, 0082 und 0241 (Unterklasse 1.1) und der UN-Nummern 0331 und 0332 (Unterklasse 1.5), wenn für diese explosiven Stoffe und Gegenstände mit Explosivstoff der Konformitätsnachweis nach § 5 des Sprengstoffgesetzes erbracht wurde und diese explosiven Stoffe und Gegenstände mit Explosivstoff eine Schlagempfindlichkeit von mehr als 30 Joule sowie eine Reibempfindlichkeit von mehr als 280 Newton bei Durchführung der Prüfverfahren[3] haben, und</w:t>
      </w:r>
    </w:p>
    <w:p>
      <w:pPr>
        <w:ind w:left="420"/>
      </w:pPr>
      <w:r>
        <w:t xml:space="preserve">2. der UN-Nummer 0081 (Unterklasse 1.1)</w:t>
      </w:r>
    </w:p>
    <w:p>
      <w:pPr>
        <w:ind w:left="780"/>
      </w:pPr>
      <w:r>
        <w:t xml:space="preserve">a) bis 1 000 kg Nettoexplosivstoffmasse in der Beförderungseinheit, sofern die Fahrzeuge mit einem automatischen Blockierverhinderer (ABV) nach § 41 Absatz 18 oder § 41b der Straßenverkehrs-Zulassungs-Ordnung, oder</w:t>
      </w:r>
    </w:p>
    <w:p>
      <w:pPr>
        <w:ind w:left="780"/>
      </w:pPr>
      <w:r>
        <w:t xml:space="preserve">b) bis 3 000 kg Nettoexplosivstoffmasse in der Beförderungseinheit, sofern die Fahrzeuge mit einem automatischen Blockierverhinderer (ABV) nach § 41 Absatz 18 oder § 41b der Straßenverkehrs-Zulassungs-Ordnung und mit einer Fahrdynamikregelung (Electronic Stability Control – ESC)</w:t>
      </w:r>
    </w:p>
    <w:p>
      <w:pPr>
        <w:ind w:left="420"/>
      </w:pPr>
      <w:r>
        <w:t xml:space="preserve">ausgerüstet sind und dies in der ADR-Zulassungsbescheinigung nach Unterabschnitt 9.1.3.1 ADR vermerkt ist. Die Ausnahmen nach Satz 1 Nummer 1 und Nummer 2 Buchstabe a oder b können nebeneinander in Anspruch genommen werden. § 35b Satz 3 ist nicht anzuwenden.</w:t>
      </w:r>
    </w:p>
    <w:p>
      <w:r>
        <w:t xml:space="preserve">1 Der Forschungsbericht 203 ist hinterlegt bei der Bundesanstalt für Materialforschung und -prüfung, 12205 Berlin, Unter den Eichen 87.</w:t>
      </w:r>
    </w:p>
    <w:p>
      <w:r>
        <w:t xml:space="preserve">2 Die Bekanntmachung ist veröffentlicht im Verkehrsblatt 2002 Heft 16 S. 522.</w:t>
      </w:r>
    </w:p>
    <w:p>
      <w:r>
        <w:t xml:space="preserve">3 Prüfverfahren nach Anhang Teil A.14 der Verordnung (EG) Nr. 440/2008 der Kommission vom 30. Mai 2008 zur Festlegung von Prüfmethoden gemäß der Verordnung (EG) Nr. 1907/2006 des Europäischen Parlaments und des Rates zur Registrierung, Bewertung, Zulassung und Beschränkung chemischer Stoffe (REACH) (ABl. L 142 vom 31.5.2008, S. 1) in der jeweils jüngsten im Amtsblatt der Europäischen Union veröffentlichten Fassung.</w:t>
      </w:r>
    </w:p>
    <w:p>
      <w:r>
        <w:rPr>
          <w:color w:val="555555"/>
          <w:sz w:val="17"/>
        </w:rPr>
        <w:t xml:space="preserve">Zitiervorschlag: § 35c GGVSEB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https://recht.nulegal.eu/gesetze/GGVSEB/35c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