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GGVSEB — Fahrweg im Straßenverkehr</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(1) Beförderungen von in § 35b genannten gefährlichen Gütern, die teilweise oder vollständig im Straßenverkehr erfolgen, sind in dem dort festgelegten Rahmen auf Autobahnen durchzuführen.</w:t>
      </w:r>
    </w:p>
    <w:p>
      <w:r>
        <w:t xml:space="preserve">(2) Absatz 1 gilt nicht, wenn</w:t>
      </w:r>
    </w:p>
    <w:p>
      <w:pPr>
        <w:ind w:left="420"/>
      </w:pPr>
      <w:r>
        <w:t xml:space="preserve">1. die Entfernung bei Benutzung der Autobahn mindestens doppelt so groß ist wie die Entfernung bei Benutzung anderer geeigneter Straßen, oder</w:t>
      </w:r>
    </w:p>
    <w:p>
      <w:pPr>
        <w:ind w:left="420"/>
      </w:pPr>
      <w:r>
        <w:t xml:space="preserve">2. die Benutzung der Autobahn nach den Vorschriften der Straßenverkehrs-Ordnung oder der Ferienreiseverordnung ausgeschlossen oder beschränkt ist.</w:t>
      </w:r>
    </w:p>
    <w:p>
      <w:r>
        <w:t xml:space="preserve">(3) Der Fahrweg außerhalb der Autobahnen wird von der nach Landesrecht zuständigen Behörde für eine einzelne Fahrt oder bei vergleichbaren Sachverhalten für eine begrenzte oder unbegrenzte Zahl von Fahrten auf Antrag schriftlich oder elektronisch bestimmt. Die Fahrwegbestimmung kann auch durch Allgemeinverfügung erfolgen. Bei Sperrungen dürfen die ausgewiesenen Umleitungsstrecken ohne erneute Fahrwegbestimmung benutzt werden.</w:t>
      </w:r>
    </w:p>
    <w:p>
      <w:r>
        <w:t xml:space="preserve">(4) Der Beförderer darf die gefährlichen Güter nur befördern, wenn eine Fahrwegbestimmung erteilt ist. Er hat dafür zu sorgen, dass die Fahrwegbestimmung dem Fahrzeugführer vor Beförderungsbeginn übergeben wird. Der Fahrzeugführer muss die Fahrwegbestimmung beachten und sie während der Beförderung mitführen und zuständigen Personen auf Verlangen zur Prüfung aushändigen.</w:t>
      </w:r>
    </w:p>
    <w:p>
      <w:r>
        <w:t xml:space="preserve">(5) Bei der Fahrwegbestimmung nach Absatz 3 Satz 1 genügt das Mitführen eines fernkopierten Bescheides oder des Ausdrucks eines elektronisch erteilten und signierten Bescheides sowie dessen digitalisierte Form auf einem Speichermedium, wenn diese derart mitgeführt wird, dass sie bei einer Kontrolle auf Verlangen zuständigen Personen lesbar gemacht werden kann.</w:t>
      </w:r>
    </w:p>
    <w:p>
      <w:r>
        <w:rPr>
          <w:color w:val="555555"/>
          <w:sz w:val="17"/>
        </w:rPr>
        <w:t xml:space="preserve">Zitiervorschlag: § 35a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