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GGVSEB — Pflichten des Eigentümers oder Betreibers in der Binnenschifffahrt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Der Eigentümer oder, sofern das Schiff von einem Betreiber gechartert wurde, der Betreiber in der Binnenschifffahrt hat dafür zu sorgen, dass</w:t>
      </w:r>
    </w:p>
    <w:p>
      <w:pPr>
        <w:ind w:left="420"/>
      </w:pPr>
      <w:r>
        <w:t xml:space="preserve">1. die Vorschriften des Teils 7 ADN über die Klassifikation von Tankschiffen, Gebrauchsanleitungen, Hinweistafeln und Ausrüstungen eingehalten werden;</w:t>
      </w:r>
    </w:p>
    <w:p>
      <w:pPr>
        <w:ind w:left="420"/>
      </w:pPr>
      <w:r>
        <w:t xml:space="preserve">2. die Vorschriften des Kapitels 8.1 ADN eingehalten werden;</w:t>
      </w:r>
    </w:p>
    <w:p>
      <w:pPr>
        <w:ind w:left="420"/>
      </w:pPr>
      <w:r>
        <w:t xml:space="preserve">3. ein Sachkundiger gemäß den Unterabschnitten 8.2.1.2, 8.2.1.5 und 8.2.1.7 ADN an Bord ist;</w:t>
      </w:r>
    </w:p>
    <w:p>
      <w:pPr>
        <w:ind w:left="420"/>
      </w:pPr>
      <w:r>
        <w:t xml:space="preserve">4. die Vorschriften des Kapitels 8.3 ADN hinsichtlich der Hinweistafeln eingehalten werden;</w:t>
      </w:r>
    </w:p>
    <w:p>
      <w:pPr>
        <w:ind w:left="420"/>
      </w:pPr>
      <w:r>
        <w:t xml:space="preserve">5. die Vorschriften des Teils 9 ADN eingehalten werden;</w:t>
      </w:r>
    </w:p>
    <w:p>
      <w:pPr>
        <w:ind w:left="420"/>
      </w:pPr>
      <w:r>
        <w:t xml:space="preserve">6. bei der Klassifikationsgesellschaft eine Aktualisierung der Schiffsstoffliste nach Absatz 1.16.1.2.5 innerhalb der in Unterabschnitt 1.6.1.1 ADN genannten Frist erfolgt;</w:t>
      </w:r>
    </w:p>
    <w:p>
      <w:pPr>
        <w:ind w:left="420"/>
      </w:pPr>
      <w:r>
        <w:t xml:space="preserve">7. das Schiff nach Abschnitt 1.16.9 ADN in den dort genannten Fällen einer Sonderuntersuchung unterzogen wird und</w:t>
      </w:r>
    </w:p>
    <w:p>
      <w:pPr>
        <w:ind w:left="420"/>
      </w:pPr>
      <w:r>
        <w:t xml:space="preserve">8. die Schiffsakte nach den Unterabschnitten 9.1.0.1, 9.3.1.1, 9.3.2.1 und 9.3.3.1 ADN geführt, aufbewahrt und aktualisiert wird.</w:t>
      </w:r>
    </w:p>
    <w:p>
      <w:r>
        <w:rPr>
          <w:color w:val="555555"/>
          <w:sz w:val="17"/>
        </w:rPr>
        <w:t xml:space="preserve">Zitiervorschlag: § 34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