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GGVSEB — Pflichten des Schiffsführers in der Binnenschifffahrt</w:t>
      </w:r>
    </w:p>
    <w:p>
      <w:r>
        <w:rPr>
          <w:color w:val="555555"/>
          <w:sz w:val="18"/>
        </w:rPr>
        <w:t xml:space="preserve">Gefahrgutverordnung Straße, Eisenbahn und Binnenschifffahrt</w:t>
      </w:r>
    </w:p>
    <w:p>
      <w:r>
        <w:rPr>
          <w:color w:val="555555"/>
          <w:sz w:val="18"/>
        </w:rPr>
        <w:t xml:space="preserve">Stand: 29.08.2023 (konsolidierte Textfassung, kein amtliches Inkrafttretensdatum)</w:t>
      </w:r>
    </w:p>
    <w:p>
      <w:r>
        <w:t xml:space="preserve">Der Schiffsführer in der Binnenschifffahrt</w:t>
      </w:r>
    </w:p>
    <w:p>
      <w:pPr>
        <w:ind w:left="420"/>
      </w:pPr>
      <w:r>
        <w:t xml:space="preserve">1. hat die allgemeinen Sicherheitspflichten nach Abschnitt 1.4.1 ADN zu beachten;</w:t>
      </w:r>
    </w:p>
    <w:p>
      <w:pPr>
        <w:ind w:left="420"/>
      </w:pPr>
      <w:r>
        <w:t xml:space="preserve">2. hat dafür zu sorgen, dass das Schiff oder Tankschiff nicht überladen oder der einzelne Ladetank nicht überfüllt ist und nach den Vorgaben des Stabilitätshandbuchs oder des Ladungsrechners gemäß den Absätzen 9.3.1.13.3, 9.3.2.13.3 und 9.3.3.13.3 ADN beladen ist;</w:t>
      </w:r>
    </w:p>
    <w:p>
      <w:pPr>
        <w:ind w:left="420"/>
      </w:pPr>
      <w:r>
        <w:t xml:space="preserve">3. hat sich durch eine Sichtprüfung zu vergewissern, dass das Schiff oder Tankschiff und die Ladung keine offensichtlichen Mängel, keine Undichtheiten oder Risse aufweisen und dass keine Ausrüstungsteile fehlen;</w:t>
      </w:r>
    </w:p>
    <w:p>
      <w:pPr>
        <w:ind w:left="420"/>
      </w:pPr>
      <w:r>
        <w:t xml:space="preserve">4. hat dafür zu sorgen, dass jedes betroffene Mitglied der Besatzung die schriftlichen Weisungen nach Abschnitt 5.4.3 ADN versteht und richtig anwenden kann;</w:t>
      </w:r>
    </w:p>
    <w:p>
      <w:pPr>
        <w:ind w:left="420"/>
      </w:pPr>
      <w:r>
        <w:t xml:space="preserve">5. hat die in den schriftlichen Weisungen nach Abschnitt 5.4.3 ADN vorgeschriebenen Maßnahmen zu treffen;</w:t>
      </w:r>
    </w:p>
    <w:p>
      <w:pPr>
        <w:ind w:left="420"/>
      </w:pPr>
      <w:r>
        <w:t xml:space="preserve">6. hat dafür zu sorgen, dass die Vorschriften für das Laden, Befördern, Löschen und sonstige Handhaben der Ladung des Teils 7 ADN eingehalten werden, mit Ausnahme der Vorschriften über die Klassifikation von Tankschiffen, Gebrauchsanleitungen, Hinweistafeln, Ausrüstungen und Methoden zur Temperaturkontrolle;</w:t>
      </w:r>
    </w:p>
    <w:p>
      <w:pPr>
        <w:ind w:left="420"/>
      </w:pPr>
      <w:r>
        <w:t xml:space="preserve">7. hat zu prüfen, ob der Eigentümer oder Betreiber seinen Pflichten nach § 34 nachgekommen ist;</w:t>
      </w:r>
    </w:p>
    <w:p>
      <w:pPr>
        <w:ind w:left="420"/>
      </w:pPr>
      <w:r>
        <w:t xml:space="preserve">8. hat während der Beförderung</w:t>
      </w:r>
    </w:p>
    <w:p>
      <w:pPr>
        <w:ind w:left="780"/>
      </w:pPr>
      <w:r>
        <w:t xml:space="preserve">a) die Begleitpapiere nach den Unterabschnitten 8.1.2.1 bis 8.1.2.3 ADN und</w:t>
      </w:r>
    </w:p>
    <w:p>
      <w:pPr>
        <w:ind w:left="780"/>
      </w:pPr>
      <w:r>
        <w:t xml:space="preserve">b) die Ausnahmezulassung nach § 5 Absatz 1 und 3</w:t>
      </w:r>
    </w:p>
    <w:p>
      <w:pPr>
        <w:ind w:left="420"/>
      </w:pPr>
      <w:r>
        <w:t xml:space="preserve">mitzuführen und zuständigen Personen auf Verlangen zur Prüfung auszuhändigen;</w:t>
      </w:r>
    </w:p>
    <w:p>
      <w:pPr>
        <w:ind w:left="420"/>
      </w:pPr>
      <w:r>
        <w:t xml:space="preserve">9. hat dafür zu sorgen, dass die Vorschriften des Kapitels 8.3 ADN eingehalten werden, mit Ausnahme der Vorschriften über Hinweistafeln;</w:t>
      </w:r>
    </w:p>
    <w:p>
      <w:pPr>
        <w:ind w:left="420"/>
      </w:pPr>
      <w:r>
        <w:t xml:space="preserve">10. darf, wenn er einen Verstoß gegen die vorgenannten Vorschriften der Nummern 1 bis 9 feststellt, die Sendung so lange nicht befördern, bis die Vorschriften erfüllt sind;</w:t>
      </w:r>
    </w:p>
    <w:p>
      <w:pPr>
        <w:ind w:left="420"/>
      </w:pPr>
      <w:r>
        <w:t xml:space="preserve">11. hat nach Absatz 1.4.2.2.1 Buchstabe k vor dem Entgasen von leeren oder entladenen Ladetanks und Lade- und Löschleitungen des Tankschiffs an einer Annahmestelle seinen Teil der Prüfliste nach Absatz 7.2.3.7.2.2 Satz 2 ADN auszufüllen und</w:t>
      </w:r>
    </w:p>
    <w:p>
      <w:pPr>
        <w:ind w:left="420"/>
      </w:pPr>
      <w:r>
        <w:t xml:space="preserve">12. hat nach Absatz 1.4.2.2.1 Buchstabe l vor dem Beladen und Entladen der Ladetanks eines Tankschiffs seinen Teil der Prüfliste nach Unterabschnitt 7.2.4.10 ADN auszufüllen.</w:t>
      </w:r>
    </w:p>
    <w:p>
      <w:r>
        <w:rPr>
          <w:color w:val="555555"/>
          <w:sz w:val="17"/>
        </w:rPr>
        <w:t xml:space="preserve">Zitiervorschlag: § 33 GGVSEB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https://recht.nulegal.eu/gesetze/GGVSEB/33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