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31a GGVSEB — Pflichten des Triebfahrzeugführers im Eisenbahnverkehr</w:t>
      </w:r>
    </w:p>
    <w:p>
      <w:r>
        <w:rPr>
          <w:color w:val="555555"/>
          <w:sz w:val="18"/>
        </w:rPr>
        <w:t xml:space="preserve">Gefahrgutverordnung Straße, Eisenbahn und Binnenschifffahrt</w:t>
      </w:r>
    </w:p>
    <w:p>
      <w:r>
        <w:rPr>
          <w:color w:val="555555"/>
          <w:sz w:val="18"/>
        </w:rPr>
        <w:t xml:space="preserve">Stand: 05.09.2026 (konsolidierte Textfassung, kein amtliches Inkrafttretensdatum)</w:t>
      </w:r>
    </w:p>
    <w:p>
      <w:r>
        <w:t xml:space="preserve">Der Triebfahrzeugführer im Eisenbahnverkehr muss nach Unterabschnitt 5.4.3.3 RID vor Antritt der Fahrt die schriftlichen Weisungen zu den bei einem Unfall oder Zwischenfall zu ergreifenden Maßnahmen einsehen.</w:t>
      </w:r>
    </w:p>
    <w:p>
      <w:r>
        <w:rPr>
          <w:color w:val="555555"/>
          <w:sz w:val="17"/>
        </w:rPr>
        <w:t xml:space="preserve">Zitiervorschlag: § 31a GGVSEB</w:t>
      </w:r>
    </w:p>
    <w:p>
      <w:r>
        <w:rPr>
          <w:color w:val="555555"/>
          <w:sz w:val="17"/>
        </w:rPr>
        <w:t xml:space="preserve">Quelle: Bundesamt für Justiz, abgerufen 05.09.2026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https://recht.nulegal.eu/gesetze/GGVSEB/31a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