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GGVSEB — Pflichten des Betreibers der Eisenbahninfrastruktur im Eisenbahnverkehr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29.08.2023 (konsolidierte Textfassung, kein amtliches Inkrafttretensdatum)</w:t>
      </w:r>
    </w:p>
    <w:p>
      <w:r>
        <w:t xml:space="preserve">Der Betreiber der Eisenbahninfrastruktur im Eisenbahnverkehr</w:t>
      </w:r>
    </w:p>
    <w:p>
      <w:pPr>
        <w:ind w:left="420"/>
      </w:pPr>
      <w:r>
        <w:t xml:space="preserve">1. hat dafür zu sorgen, dass sein Personal nach Unterabschnitt 1.3.2.2 RID unterwiesen wird, und</w:t>
      </w:r>
    </w:p>
    <w:p>
      <w:pPr>
        <w:ind w:left="420"/>
      </w:pPr>
      <w:r>
        <w:t xml:space="preserve">2. hat</w:t>
      </w:r>
    </w:p>
    <w:p>
      <w:pPr>
        <w:ind w:left="780"/>
      </w:pPr>
      <w:r>
        <w:t xml:space="preserve">a) dafür zu sorgen, dass nach Kapitel 1.11 RID interne Notfallpläne für Rangierbahnhöfe aufgestellt werden, und</w:t>
      </w:r>
    </w:p>
    <w:p>
      <w:pPr>
        <w:ind w:left="780"/>
      </w:pPr>
      <w:r>
        <w:t xml:space="preserve">b) sicherzustellen, dass er während der Beförderung einen schnellen und uneingeschränkten Zugriff zu den Informationen nach Unterabschnitt 1.4.3.6 Buchstabe b RID hat.</w:t>
      </w:r>
    </w:p>
    <w:p>
      <w:r>
        <w:rPr>
          <w:color w:val="555555"/>
          <w:sz w:val="17"/>
        </w:rPr>
        <w:t xml:space="preserve">Zitiervorschlag: § 31 GGVSEB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