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GGVSEB — Pflichten mehrerer Beteiligter im Straßenverkehr</w:t>
      </w:r>
    </w:p>
    <w:p>
      <w:r>
        <w:rPr>
          <w:color w:val="555555"/>
          <w:sz w:val="18"/>
        </w:rPr>
        <w:t xml:space="preserve">Gefahrgutverordnung Straße, Eisenbahn und Binnenschifffahrt</w:t>
      </w:r>
    </w:p>
    <w:p>
      <w:r>
        <w:rPr>
          <w:color w:val="555555"/>
          <w:sz w:val="18"/>
        </w:rPr>
        <w:t xml:space="preserve">Stand: 29.08.2023 (konsolidierte Textfassung, kein amtliches Inkrafttretensdatum)</w:t>
      </w:r>
    </w:p>
    <w:p>
      <w:r>
        <w:t xml:space="preserve">(1) Der Verlader und der Fahrzeugführer im Straßenverkehr haben die Vorschriften über die Beladung und die Handhabung nach den Unterabschnitten 7.5.1.2, 7.5.1.4 und 7.5.1.5 und den Abschnitten 7.5.2, 7.5.5, 7.5.7, ausgenommen Unterabschnitt 7.5.7.4 Satz 2 beim Fahrzeugführer, sowie den Abschnitten 7.5.8 und 7.5.11 ADR zu beachten.</w:t>
      </w:r>
    </w:p>
    <w:p>
      <w:r>
        <w:t xml:space="preserve">(2) Der Verlader, Beförderer, Fahrzeugführer, Entlader und Empfänger im Straßenverkehr haben die Vorschriften</w:t>
      </w:r>
    </w:p>
    <w:p>
      <w:pPr>
        <w:ind w:left="420"/>
      </w:pPr>
      <w:r>
        <w:t xml:space="preserve">1. über das Verbot der direkten Sonneneinstrahlung, der Einwirkung von Wärmequellen und die Vorschrift zum Abstellen an ausreichend belüfteten Stellen nach Abschnitt 3.3.1 Sondervorschrift 314 Buchstabe b oder nach Unterabschnitt 7.1.7.1 ADR;</w:t>
      </w:r>
    </w:p>
    <w:p>
      <w:pPr>
        <w:ind w:left="420"/>
      </w:pPr>
      <w:r>
        <w:t xml:space="preserve">2. über die Temperaturkontrolle nach den Unterabschnitten 7.1.7.2, 7.1.7.3 und 7.1.7.4 ADR;</w:t>
      </w:r>
    </w:p>
    <w:p>
      <w:pPr>
        <w:ind w:left="420"/>
      </w:pPr>
      <w:r>
        <w:t xml:space="preserve">3. über die Beförderung in Versandstücken nach Kapitel 7.2 ADR;</w:t>
      </w:r>
    </w:p>
    <w:p>
      <w:pPr>
        <w:ind w:left="420"/>
      </w:pPr>
      <w:r>
        <w:t xml:space="preserve">4. über das Rauchverbot nach Abschnitt 7.5.9 in Verbindung mit Abschnitt 8.3.5 ADR und</w:t>
      </w:r>
    </w:p>
    <w:p>
      <w:pPr>
        <w:ind w:left="420"/>
      </w:pPr>
      <w:r>
        <w:t xml:space="preserve">5. über das Rauchverbot sowie Verbot von Feuer und offenem Licht nach Kapitel 8.5 zusätzliche Vorschrift S1 Absatz 3 ADR und bei innerstaatlichen Beförderungen nach der Anlage 2 Gliederungsnummer 3.1</w:t>
      </w:r>
    </w:p>
    <w:p>
      <w:r>
        <w:t xml:space="preserve">zu beachten.</w:t>
      </w:r>
    </w:p>
    <w:p>
      <w:r>
        <w:t xml:space="preserve">(3) Der Verlader, Fahrzeugführer und Entlader im Straßenverkehr haben die Vorschriften nach Abschnitt 7.5.4 ADR über Vorsichtsmaßnahmen bei Nahrungs-, Genuss- und Futtermitteln zu beachten.</w:t>
      </w:r>
    </w:p>
    <w:p>
      <w:r>
        <w:t xml:space="preserve">(4) Der Verlader, Beförderer und Fahrzeugführer im Straßenverkehr haben die Vorschriften</w:t>
      </w:r>
    </w:p>
    <w:p>
      <w:pPr>
        <w:ind w:left="420"/>
      </w:pPr>
      <w:r>
        <w:t xml:space="preserve">1. über die Verladung in offene oder belüftete Fahrzeuge oder in offene oder belüftete Container oder über das Anbringen des Kennzeichens nach Abschnitt 7.5.11 Sondervorschrift CV36 ADR und</w:t>
      </w:r>
    </w:p>
    <w:p>
      <w:pPr>
        <w:ind w:left="420"/>
      </w:pPr>
      <w:r>
        <w:t xml:space="preserve">2. über die Beförderung von Nebenprodukten der Aluminiumherstellung oder Aluminiumumschmelzung nach Abschnitt 7.5.11 Sondervorschrift CV37 ADR</w:t>
      </w:r>
    </w:p>
    <w:p>
      <w:r>
        <w:t xml:space="preserve">zu beachten.</w:t>
      </w:r>
    </w:p>
    <w:p>
      <w:r>
        <w:t xml:space="preserve">(5) Wer während der Beförderung die Ladungssicherung verändert, hat dafür zu sorgen, dass die Vorschriften über die Handhabung und Verstauung nach den Unterabschnitten 7.5.7.1 und 7.5.7.2 ADR beachtet werden.</w:t>
      </w:r>
    </w:p>
    <w:p>
      <w:r>
        <w:rPr>
          <w:color w:val="555555"/>
          <w:sz w:val="17"/>
        </w:rPr>
        <w:t xml:space="preserve">Zitiervorschlag: § 29 GGVSEB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