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GGVSEB — Pflichten des Fahrzeugführers im Straßenverkehr</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Der Fahrzeugführer im Straßenverkehr hat</w:t>
      </w:r>
    </w:p>
    <w:p>
      <w:pPr>
        <w:ind w:left="420"/>
      </w:pPr>
      <w:r>
        <w:t xml:space="preserve">1. kein Versandstück zu befördern, dessen Verpackung erkennbar unvollständig oder beschädigt, insbesondere undicht ist, sodass gefährliches Gut austritt oder austreten kann;</w:t>
      </w:r>
    </w:p>
    <w:p>
      <w:pPr>
        <w:ind w:left="420"/>
      </w:pPr>
      <w:r>
        <w:t xml:space="preserve">2. die Beförderungsbe- oder -einschränkungen nach Abschnitt 8.6.4 ADR zu beachten;</w:t>
      </w:r>
    </w:p>
    <w:p>
      <w:pPr>
        <w:ind w:left="420"/>
      </w:pPr>
      <w:r>
        <w:t xml:space="preserve">3. wenn er das Tankfahrzeug, den Aufsetztank, den Tankwechselbehälter oder das Batterie-Fahrzeug selbst befüllt, den vom Befüller angegebenen zulässigen Füllungsgrad, den zulässigen Füllungszustand, den zulässigen Füllfaktor oder die zulässige Masse der Füllung je Liter Fassungsraum und die zulässige Befülltemperatur nach Unterabschnitt 4.3.2.2, den Absätzen 4.3.3.2.3 und 4.3.3.2.5 oder den anwendbaren Sondervorschriften in Abschnitt 4.3.5 ADR einzuhalten; er hat bei flüssigen Stoffen mit Ausnahme bei Gasen einen Füllungsgrad von höchstens 85 Prozent einzuhalten, wenn der Befüller den zulässigen Füllungsgrad nicht angeben und dieser nicht einer anwendbaren Sondervorschrift entnommen werden kann;</w:t>
      </w:r>
    </w:p>
    <w:p>
      <w:pPr>
        <w:ind w:left="420"/>
      </w:pPr>
      <w:r>
        <w:t xml:space="preserve">4. die Vorschriften über</w:t>
      </w:r>
    </w:p>
    <w:p>
      <w:pPr>
        <w:ind w:left="780"/>
      </w:pPr>
      <w:r>
        <w:t xml:space="preserve">a) den Betrieb von Tanks nach Unterabschnitt 4.3.2.3, mit Ausnahme der Absätze 4.3.2.3.1, 4.3.2.3.2, 4.3.2.3.3 Satz 4 und 5, 4.3.2.3.6 und 4.3.2.3.7, und Unterabschnitt 4.3.2.4, dem Absatz 4.3.3.3.3 und Abschnitt 4.3.5 Sondervorschrift TU 13 und TU 14 ADR und</w:t>
      </w:r>
    </w:p>
    <w:p>
      <w:pPr>
        <w:ind w:left="780"/>
      </w:pPr>
      <w:r>
        <w:t xml:space="preserve">b) die ihn betreffenden zusätzlichen Vorschriften nach Kapitel 8.5 ADR</w:t>
      </w:r>
    </w:p>
    <w:p>
      <w:pPr>
        <w:ind w:left="420"/>
      </w:pPr>
      <w:r>
        <w:t xml:space="preserve">zu beachten;</w:t>
      </w:r>
    </w:p>
    <w:p>
      <w:pPr>
        <w:ind w:left="420"/>
      </w:pPr>
      <w:r>
        <w:t xml:space="preserve">5. wenn er den Tank, das Batterie-Fahrzeug oder den MEGC selbst befüllt, nach dem Befüllen die Dichtheit der Verschlusseinrichtungen nach Absatz 4.3.2.3.3 Satz 4 und 5 ADR zu prüfen;</w:t>
      </w:r>
    </w:p>
    <w:p>
      <w:pPr>
        <w:ind w:left="420"/>
      </w:pPr>
      <w:r>
        <w:t xml:space="preserve">6. die Großzettel (Placards) nach den Unterabschnitten 5.3.1.3 bis 5.3.1.6 anzubringen und an Fahrzeugen nach Absatz 5.3.1.1.6 ADR zu entfernen oder abzudecken;</w:t>
      </w:r>
    </w:p>
    <w:p>
      <w:pPr>
        <w:ind w:left="420"/>
      </w:pPr>
      <w:r>
        <w:t xml:space="preserve">7. an Beförderungseinheiten und Fahrzeugen die Kennzeichen nach Abschnitt 3.4.15, die orangefarbenen Tafeln nach Abschnitt 5.3.2 und das Kennzeichen nach den Abschnitten 5.3.3 und 5.3.6 anzubringen oder sichtbar zu machen, die Kennzeichen nach Abschnitt 3.4.15 und die Tafeln nach Absatz 5.3.2.1.8 sowie das Kennzeichen nach den Abschnitten 5.3.3 und 5.3.6 ADR zu entfernen oder zu verdecken;</w:t>
      </w:r>
    </w:p>
    <w:p>
      <w:pPr>
        <w:ind w:left="420"/>
      </w:pPr>
      <w:r>
        <w:t xml:space="preserve">8. die in den schriftlichen Weisungen nach Unterabschnitt 5.4.3.4 ADR vorgeschriebenen Maßnahmen zu treffen;</w:t>
      </w:r>
    </w:p>
    <w:p>
      <w:pPr>
        <w:ind w:left="420"/>
      </w:pPr>
      <w:r>
        <w:t xml:space="preserve">9. sich zu vergewissern, dass ein Warnkennzeichen nach den Absätzen 5.5.2.3.1 und 5.5.3.6.1 ADR am Fahrzeug, Container oder Tank angebracht ist;</w:t>
      </w:r>
    </w:p>
    <w:p>
      <w:pPr>
        <w:ind w:left="420"/>
      </w:pPr>
      <w:r>
        <w:t xml:space="preserve">10. während der Beförderung</w:t>
      </w:r>
    </w:p>
    <w:p>
      <w:pPr>
        <w:ind w:left="780"/>
      </w:pPr>
      <w:r>
        <w:t xml:space="preserve">a) die Begleitpapiere nach den Unterabschnitten 8.1.2.1 und 8.1.2.2 Buchstabe a und c sowie bei innerstaatlichen Beförderungen in Aufsetztanks die Bescheinigung über die Prüfung des Aufsetztanks nach Absatz 6.8.2.4.5, sofern die Übergangsvorschrift nach Unterabschnitt 1.6.3.41 ADR in Anspruch genommen wird,</w:t>
      </w:r>
    </w:p>
    <w:p>
      <w:pPr>
        <w:ind w:left="780"/>
      </w:pPr>
      <w:r>
        <w:t xml:space="preserve">b) die Bescheinigung über die Fahrzeugführerschulung nach Unterabschnitt 8.2.2.8 ADR,</w:t>
      </w:r>
    </w:p>
    <w:p>
      <w:pPr>
        <w:ind w:left="780"/>
      </w:pPr>
      <w:r>
        <w:t xml:space="preserve">c) die Feuerlöschgeräte nach den Unterabschnitten 8.1.4.1, 8.1.4.2 und 8.1.4.4 Satz 1 ADR,</w:t>
      </w:r>
    </w:p>
    <w:p>
      <w:pPr>
        <w:ind w:left="780"/>
      </w:pPr>
      <w:r>
        <w:t xml:space="preserve">d) die Ausrüstungsgegenstände nach Abschnitt 8.1.5 ADR und</w:t>
      </w:r>
    </w:p>
    <w:p>
      <w:pPr>
        <w:ind w:left="780"/>
      </w:pPr>
      <w:r>
        <w:t xml:space="preserve">e) die Ausnahmezulassung nach § 5 Absatz 1 Nummer 1, Absatz 6 und 7</w:t>
      </w:r>
    </w:p>
    <w:p>
      <w:pPr>
        <w:ind w:left="420"/>
      </w:pPr>
      <w:r>
        <w:t xml:space="preserve">mitzuführen und zuständigen Personen auf Verlangen zur Prüfung auszuhändigen;</w:t>
      </w:r>
    </w:p>
    <w:p>
      <w:pPr>
        <w:ind w:left="420"/>
      </w:pPr>
      <w:r>
        <w:t xml:space="preserve">11. die Vorschriften über die Überwachung der Fahrzeuge nach Kapitel 8.4 in Verbindung mit Kapitel 8.5 ADR sowie bei innerstaatlichen Beförderungen auch nach Anlage 2 Gliederungsnummer 3.3 zu beachten;</w:t>
      </w:r>
    </w:p>
    <w:p>
      <w:pPr>
        <w:ind w:left="420"/>
      </w:pPr>
      <w:r>
        <w:t xml:space="preserve">12. nach Absatz 4.2.1.9.6 Buchstabe b oder Absatz 4.3.2.3.5 ADR außen am Tank anhaftende gefährliche Reste des Füllgutes zu entfernen oder entfernen zu lassen, wenn er das Tankfahrzeug, den Aufsetztank, das Batterie-Fahrzeug, den Tankcontainer, den ortsbeweglichen Tank oder den MEGC selbst befüllt;</w:t>
      </w:r>
    </w:p>
    <w:p>
      <w:pPr>
        <w:ind w:left="420"/>
      </w:pPr>
      <w:r>
        <w:t xml:space="preserve">13. während der Teilnahme am Straßenverkehr mit kennzeichnungspflichtigen Beförderungseinheiten die Einnahme von alkoholischen Getränken oder der Substanz Tetrahydrocannabinol zu unterlassen und die Fahrt mit diesen Beförderungseinheiten nicht anzutreten, wenn er unter der Wirkung solcher Getränke mit einer Wirkung bis zu 0,249 mg/l Atemalkoholkonzentration oder bis zu 0,49 Promille Blutalkoholkonzentration oder unter der Wirkung der Substanz Tetrahydrocannabinol mit bis zu 3,49 ng/ml Tetrahydrocannabinol im Blutserum steht;</w:t>
      </w:r>
    </w:p>
    <w:p>
      <w:pPr>
        <w:ind w:left="420"/>
      </w:pPr>
      <w:r>
        <w:t xml:space="preserve">14. sicherzustellen, dass die Verbindungsleitungen und die Füll- und Entleerrohre nach Absatz 4.3.4.2.2 ADR während der Beförderung entleert sind;</w:t>
      </w:r>
    </w:p>
    <w:p>
      <w:pPr>
        <w:ind w:left="420"/>
      </w:pPr>
      <w:r>
        <w:t xml:space="preserve">15. wenn er den Tank selbst befüllt oder entleert, das Fahrzeug, den ortsbeweglichen Tank oder den Tankcontainer vor und während des Befüllens oder Entleerens mit den in Abschnitt 7.5.10 ADR genannten Stoffen zur Vermeidung elektrostatischer Aufladungen zu erden und</w:t>
      </w:r>
    </w:p>
    <w:p>
      <w:pPr>
        <w:ind w:left="420"/>
      </w:pPr>
      <w:r>
        <w:t xml:space="preserve">16. die Vorschriften nach Kapitel 8.3 ADR zu beachten.</w:t>
      </w:r>
    </w:p>
    <w:p>
      <w:r>
        <w:t xml:space="preserve">Satz 1 Nummer 13 gilt nicht, wenn die Substanz Tetrahydrocannabinol aus der bestimmungsgemäßen Einnahme eines für einen konkreten Krankheitsfall verschriebenen Arzneimittels herrührt.</w:t>
      </w:r>
    </w:p>
    <w:p>
      <w:r>
        <w:rPr>
          <w:color w:val="555555"/>
          <w:sz w:val="17"/>
        </w:rPr>
        <w:t xml:space="preserve">Zitiervorschlag: § 28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