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GGVSEB — Pflichten mehrerer Beteiligter im Straßen- und Eisenbahnverkehr sowie in der Binnenschifffahrt</w:t>
      </w:r>
    </w:p>
    <w:p>
      <w:r>
        <w:rPr>
          <w:color w:val="555555"/>
          <w:sz w:val="18"/>
        </w:rPr>
        <w:t xml:space="preserve">Gefahrgutverordnung Straße, Eisenbahn und Binnenschifffahrt</w:t>
      </w:r>
    </w:p>
    <w:p>
      <w:r>
        <w:rPr>
          <w:color w:val="555555"/>
          <w:sz w:val="18"/>
        </w:rPr>
        <w:t xml:space="preserve">Stand: 26.06.2025 (konsolidierte Textfassung, kein amtliches Inkrafttretensdatum)</w:t>
      </w:r>
    </w:p>
    <w:p>
      <w:r>
        <w:t xml:space="preserve">(1) Der Verlader, Befüller, Beförderer, Entlader, Empfänger im Straßen- und Eisenbahnverkehr sowie in der Binnenschifffahrt, der Betreiber der Eisenbahninfrastruktur im Eisenbahnverkehr und der Betreiber einer Annahmestelle in der Binnenschifffahrt haben dafür zu sorgen, dass nach Unterabschnitt 1.8.5.1 ADR/RID/ADN die Vorlage eines Berichts spätestens einen Monat nach dem Ereignis</w:t>
      </w:r>
    </w:p>
    <w:p>
      <w:pPr>
        <w:ind w:left="420"/>
      </w:pPr>
      <w:r>
        <w:t xml:space="preserve">1. im Straßenverkehr an das Bundesamt für Logistik und Mobilität,</w:t>
      </w:r>
    </w:p>
    <w:p>
      <w:pPr>
        <w:ind w:left="420"/>
      </w:pPr>
      <w:r>
        <w:t xml:space="preserve">2. im Eisenbahnverkehr an das Eisenbahn-Bundesamt und</w:t>
      </w:r>
    </w:p>
    <w:p>
      <w:pPr>
        <w:ind w:left="420"/>
      </w:pPr>
      <w:r>
        <w:t xml:space="preserve">3. in der Binnenschifffahrt an die Generaldirektion Wasserstraßen und Schifffahrt</w:t>
      </w:r>
    </w:p>
    <w:p>
      <w:r>
        <w:t xml:space="preserve">erfolgt.</w:t>
      </w:r>
    </w:p>
    <w:p>
      <w:r>
        <w:t xml:space="preserve">(2) Der Beförderer, Absender und Empfänger im Straßen- und Eisenbahnverkehr sowie in der Binnenschifffahrt müssen nach Unterabschnitt 1.7.6.1 Buchstabe b ADR/RID/ADN bei Nichteinhaltung eines Grenzwertes für die Dosisleistung oder Kontamination die Nichteinhaltung und ihre Ursachen, Umstände und Folgen untersuchen und geeignete Maßnahmen ergreifen, um diese abzustellen und ein erneutes Auftreten ähnlicher Umstände, die zu der Nichteinhaltung geführt haben, zu verhindern, und haben dafür zu sorgen, dass</w:t>
      </w:r>
    </w:p>
    <w:p>
      <w:pPr>
        <w:ind w:left="420"/>
      </w:pPr>
      <w:r>
        <w:t xml:space="preserve">1. im Straßenverkehr die nach Landesrecht zuständige Behörde,</w:t>
      </w:r>
    </w:p>
    <w:p>
      <w:pPr>
        <w:ind w:left="420"/>
      </w:pPr>
      <w:r>
        <w:t xml:space="preserve">2. im Eisenbahnverkehr im Bereich der Eisenbahnen des Bundes das Eisenbahn-Bundesamt und im Bereich der nichtbundeseigenen Eisenbahnen die nach Landesrecht zuständige Behörde und</w:t>
      </w:r>
    </w:p>
    <w:p>
      <w:pPr>
        <w:ind w:left="420"/>
      </w:pPr>
      <w:r>
        <w:t xml:space="preserve">3. in der Binnenschifffahrt die zuständige Behörde nach § 16 Absatz 6 Satz 1 Nummer 5</w:t>
      </w:r>
    </w:p>
    <w:p>
      <w:r>
        <w:t xml:space="preserve">informiert wird.</w:t>
      </w:r>
    </w:p>
    <w:p>
      <w:r>
        <w:t xml:space="preserve">(3) Die an der Beförderung gefährlicher Güter im Straßen- und Eisenbahnverkehr sowie in der Binnenschifffahrt Beteiligten haben entsprechend ihren Verantwortlichkeiten</w:t>
      </w:r>
    </w:p>
    <w:p>
      <w:pPr>
        <w:ind w:left="420"/>
      </w:pPr>
      <w:r>
        <w:t xml:space="preserve">1. die Vorschriften über die Sicherung nach Kapitel 1.10 zu beachten und insbesondere die in Unterabschnitt 1.10.1.3 ADR/RID/ADN genannten Bereiche, Plätze, Fahrzeugdepots, Liegeplätze und Rangierbahnhöfe ordnungsgemäß zu sichern, gut zu beleuchten und, soweit möglich und angemessen, für die Öffentlichkeit unzugänglich zu gestalten und</w:t>
      </w:r>
    </w:p>
    <w:p>
      <w:pPr>
        <w:ind w:left="420"/>
      </w:pPr>
      <w:r>
        <w:t xml:space="preserve">2. dafür zu sorgen, dass</w:t>
      </w:r>
    </w:p>
    <w:p>
      <w:pPr>
        <w:ind w:left="780"/>
      </w:pPr>
      <w:r>
        <w:t xml:space="preserve">a) die Unterweisung im Bereich der Sicherung nach Unterabschnitt 1.10.2.3 ADR/RID/ADN erfolgt, und</w:t>
      </w:r>
    </w:p>
    <w:p>
      <w:pPr>
        <w:ind w:left="780"/>
      </w:pPr>
      <w:r>
        <w:t xml:space="preserve">b) die Aufzeichnungen über die Unterweisung des Arbeitnehmers nach Unterabschnitt 1.10.2.4 ADR/RID/ADN fünf Jahre ab ihrer Fertigung aufbewahrt werden.</w:t>
      </w:r>
    </w:p>
    <w:p>
      <w:r>
        <w:t xml:space="preserve">(4) Die an der Beförderung gefährlicher Güter mit hohem Gefahrenpotenzial im Straßen- und Eisenbahnverkehr sowie in der Binnenschifffahrt beteiligten Auftraggeber des Absenders, Absender, Verpacker, Verlader, Befüller, Beförderer, Entlader, Empfänger und Betreiber der Eisenbahninfrastruktur müssen Sicherungspläne nach Absatz 1.10.3.2.1, die mindestens den Anforderungen des Absatzes 1.10.3.2.2 ADR/RID/ADN entsprechen, einführen und anwenden. Dies gilt nicht für Auftraggeber des Absenders oder Empfänger, die als Privatpersonen beteiligt sind.</w:t>
      </w:r>
    </w:p>
    <w:p>
      <w:r>
        <w:t xml:space="preserve">(4a) Die nach Absatz 4 an der Beförderung gefährlicher Güter mit hohem Gefahrenpotenzial im Straßen- und Eisenbahnverkehr sowie in der Binnenschifffahrt Beteiligten haben dafür zu sorgen, dass der zuständigen Polizeibehörde unverzüglich mitgeteilt wird, wenn ihnen Fahrzeuge, Wagen, Beförderungsmittel oder Container mit gefährlichen Gütern mit hohem Gefahrenpotenzial oder diese Güter selbst abhandenkommen. Gleiches gilt im Falle des Wiederauffindens. Beim Abhandenkommen von in Tabelle 1.10.3.1.2 aufgelisteten explosiven Stoffen und Gegenständen mit Explosivstoff und in den Absätzen 1.10.3.1.3 bis 1.10.3.1.5 ADR/RID/ADN genannten radioaktiven Stoffen ist eine gesonderte Mitteilung nach Satz 1 nur erforderlich, sofern die zuständige Polizeibehörde nicht bereits in die entsprechende Meldung nach § 26 Absatz 1 des Sprengstoffgesetzes oder nach § 167 Absatz 1 Satz 1 und 2 der Strahlenschutzverordnung einbezogen worden ist. Die Polizeibehörde, die eine Meldung nach den Sätzen 1 bis 3 entgegennimmt, unterrichtet hierüber unverzüglich das Bundeskriminalamt (BKA) sowie das Bundesamt für Bevölkerungsschutz und Katastrophenhilfe (BBK).</w:t>
      </w:r>
    </w:p>
    <w:p>
      <w:r>
        <w:t xml:space="preserve">(5) Die Beteiligten im Straßen- und Eisenbahnverkehr sowie in der Binnenschifffahrt haben dafür zu sorgen, dass</w:t>
      </w:r>
    </w:p>
    <w:p>
      <w:pPr>
        <w:ind w:left="420"/>
      </w:pPr>
      <w:r>
        <w:t xml:space="preserve">1. die Unterweisung von Personen, die an der Beförderung gefährlicher Güter beteiligt sind, nach Kapitel 1.3 ADR/RID/ADN erfolgt und</w:t>
      </w:r>
    </w:p>
    <w:p>
      <w:pPr>
        <w:ind w:left="420"/>
      </w:pPr>
      <w:r>
        <w:t xml:space="preserve">2. die Aufzeichnungen über die Unterweisung des Arbeitnehmers nach Abschnitt 1.3.3 ADR/RID/ADN fünf Jahre ab ihrer Fertigung aufbewahrt werden.</w:t>
      </w:r>
    </w:p>
    <w:p>
      <w:r>
        <w:t xml:space="preserve">(6) Die Beteiligten im Straßen- und Eisenbahnverkehr sowie in der Binnenschifffahrt haben dafür zu sorgen, dass</w:t>
      </w:r>
    </w:p>
    <w:p>
      <w:pPr>
        <w:ind w:left="420"/>
      </w:pPr>
      <w:r>
        <w:t xml:space="preserve">1. die mit der Handhabung von begasten Güterbeförderungseinheiten befassten Personen nach Unterabschnitt 5.5.2.2 ADR/RID/ADN, und</w:t>
      </w:r>
    </w:p>
    <w:p>
      <w:pPr>
        <w:ind w:left="420"/>
      </w:pPr>
      <w:r>
        <w:t xml:space="preserve">2. die mit der Handhabung oder Beförderung von Fahrzeugen, Wagen oder Containern, mit denen Trockeneis (UN 1845) befördert wird oder die zu Kühl- oder Konditionierungszwecken verwendete Stoffe enthalten, befassten Personen nach Absatz 5.5.3.2.4 ADR/RID/ADN</w:t>
      </w:r>
    </w:p>
    <w:p>
      <w:r>
        <w:t xml:space="preserve">unterwiesen sind.</w:t>
      </w:r>
    </w:p>
    <w:p>
      <w:r>
        <w:t xml:space="preserve">(7) Der Beförderer und der Schiffsführer in der Binnenschifffahrt haben nach Absatz 1.4.2.2.1 Buchstabe f ADN sicherzustellen, dass an Bord des Schiffes in den explosionsgefährdeten Bereichen nur elektrische und nichtelektrische Anlagen und Geräte verwendet werden, die mindestens die Anforderungen für den Einsatz in der jeweiligen Zone erfüllen.</w:t>
      </w:r>
    </w:p>
    <w:p>
      <w:r>
        <w:rPr>
          <w:color w:val="555555"/>
          <w:sz w:val="17"/>
        </w:rPr>
        <w:t xml:space="preserve">Zitiervorschlag: § 27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