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GGVSEB — Sonstige Pflichten</w:t>
      </w:r>
    </w:p>
    <w:p>
      <w:r>
        <w:rPr>
          <w:color w:val="555555"/>
          <w:sz w:val="18"/>
        </w:rPr>
        <w:t xml:space="preserve">Gefahrgutverordnung Straße, Eisenbahn und Binnenschifffahrt</w:t>
      </w:r>
    </w:p>
    <w:p>
      <w:r>
        <w:rPr>
          <w:color w:val="555555"/>
          <w:sz w:val="18"/>
        </w:rPr>
        <w:t xml:space="preserve">Stand: 05.09.2026 (konsolidierte Textfassung, kein amtliches Inkrafttretensdatum)</w:t>
      </w:r>
    </w:p>
    <w:p>
      <w:r>
        <w:t xml:space="preserve">(1) Wer ungereinigte und nicht entgaste leere Tanks und UN-MEGC zur Beförderung übergibt, versendet oder selbst befördert, hat dafür zu sorgen, dass</w:t>
      </w:r>
    </w:p>
    <w:p>
      <w:pPr>
        <w:ind w:left="420"/>
      </w:pPr>
      <w:r>
        <w:t xml:space="preserve">1. nach Absatz 4.2.1.9.6 Buchstabe b oder Absatz 4.3.2.4.1 ADR/RID den Tanks außen keine gefährlichen Reste des Füllgutes anhaften;</w:t>
      </w:r>
    </w:p>
    <w:p>
      <w:pPr>
        <w:ind w:left="420"/>
      </w:pPr>
      <w:r>
        <w:t xml:space="preserve">2. nach Absatz 4.3.2.4.2 und den Unterabschnitten 4.2.1.5, 4.2.2.6, 4.2.3.5 und 4.2.4.7 ADR/RID ungereinigte leere und nicht entgaste Tanks und UN-MEGC ebenso verschlossen und dicht sind wie im gefüllten Zustand, und</w:t>
      </w:r>
    </w:p>
    <w:p>
      <w:pPr>
        <w:ind w:left="420"/>
      </w:pPr>
      <w:r>
        <w:t xml:space="preserve">3. die nach Unterabschnitt 5.3.1.6 und den Abschnitten 5.3.2, 5.3.4 und 5.3.6 RID vorgeschriebenen Großzettel (Placards) und Kennzeichen angebracht sind.</w:t>
      </w:r>
    </w:p>
    <w:p>
      <w:r>
        <w:t xml:space="preserve">(2) Wenn eine Sichtprüfung bei Tanks nach Absatz 1 Nummer 2 ergibt, dass keine offensichtlichen Undichtigkeiten vorliegen, kann davon ausgegangen werden, dass beim vorherigen Entleerungsvorgang nicht betätigte Füll- und Entleerungseinrichtungen unverändert dicht sind.</w:t>
      </w:r>
    </w:p>
    <w:p>
      <w:r>
        <w:t xml:space="preserve">(3) Der Hersteller von Gegenständen der UN 3164, für die Kapitel 3.3 Sondervorschrift 371 ADR/RID/ADN einschlägig ist, muss vor der Aufgabe zur Beförderung nach Absatz 2 Satz 1 dieser Sondervorschrift eine technische Dokumentation über die Bauart, die Herstellung sowie die Prüfungen und deren Ergebnisse anfertigen.</w:t>
      </w:r>
    </w:p>
    <w:p>
      <w:r>
        <w:t xml:space="preserve">(4) Der Verlader, Befüller, Beförderer im Straßen- und Eisenbahnverkehr, der Betreiber eines Containers und Fahrzeugführer im Straßenverkehr sowie der Betreiber eines Wagens oder Großcontainers im Eisenbahnverkehr haben bei der Beförderung erwärmter flüssiger und fester Stoffe der UN-Nummern 3257 und 3258 nach Abschnitt 7.3.3 Sondervorschrift VC 3 ADR/RID die Vorschriften nach § 36b zu beachten.</w:t>
      </w:r>
    </w:p>
    <w:p>
      <w:r>
        <w:t xml:space="preserve">(5) Der Betreiber einer Annahmestelle für Gase und Dämpfe aus leeren oder entladenen Ladetanks und Lade- und Löschleitungen eines Tankschiffs hat</w:t>
      </w:r>
    </w:p>
    <w:p>
      <w:pPr>
        <w:ind w:left="420"/>
      </w:pPr>
      <w:r>
        <w:t xml:space="preserve">1. dafür zu sorgen, dass sein Personal nach Unterabschnitt 1.3.2.2 ADN unterwiesen wird,</w:t>
      </w:r>
    </w:p>
    <w:p>
      <w:pPr>
        <w:ind w:left="420"/>
      </w:pPr>
      <w:r>
        <w:t xml:space="preserve">2. nach Absatz 1.4.3.8.1 Buchstabe a vor dem Entgasen von leeren oder entladenen Ladetanks und Lade- und Löschleitungen eines Tankschiffs an einer Annahmestelle seinen Teil der Prüfliste nach Absatz 7.2.3.7.2.2 Satz 2 ADN auszufüllen und</w:t>
      </w:r>
    </w:p>
    <w:p>
      <w:pPr>
        <w:ind w:left="420"/>
      </w:pPr>
      <w:r>
        <w:t xml:space="preserve">3. nach Absatz 1.4.3.8.1 Buchstabe b sicherzustellen, dass, soweit nach Absatz 7.2.3.7.2.3 ADN erforderlich, in allen Leitungen der Annahmestelle, die an das zu entgasende Schiff angeschlossen sind, Flammendurchschlagsicherungen vorhanden sind, welche das Schiff gegen Detonation und Flammendurchschlag von der Annahmestelle aus schützen.</w:t>
      </w:r>
    </w:p>
    <w:p>
      <w:r>
        <w:rPr>
          <w:color w:val="555555"/>
          <w:sz w:val="17"/>
        </w:rPr>
        <w:t xml:space="preserve">Zitiervorschlag: § 26 GGVSEB</w:t>
      </w:r>
    </w:p>
    <w:p>
      <w:r>
        <w:rPr>
          <w:color w:val="555555"/>
          <w:sz w:val="17"/>
        </w:rPr>
        <w:t xml:space="preserve">Quelle: Bundesamt für Justiz, abgerufen 05.09.2026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