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GGVSEB — Pflichten des Herstellers, Wiederaufarbeiters und Rekonditionierers von Verpackungen, des Herstellers und Wiederaufarbeiters von IBC und der Stellen für Inspektionen und Prüfungen von IBC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(1) Der Hersteller oder Wiederaufarbeiter im Straßen- und Eisenbahnverkehr sowie in der Binnenschifffahrt</w:t>
      </w:r>
    </w:p>
    <w:p>
      <w:pPr>
        <w:ind w:left="420"/>
      </w:pPr>
      <w:r>
        <w:t xml:space="preserve">1. darf an serienmäßig oder einzeln hergestellten Verpackungen, Gefäßen, IBC und Großverpackungen die Kennzeichen nach Abschnitt 6.1.3, den Unterabschnitten 6.2.2.7, 6.2.2.8, 6.2.3.9, 6.2.3.10, den Abschnitten 6.3.4, 6.5.2 und 6.6.3 ADR/RID nur anbringen, sofern diese der zugelassenen Bauart entsprechen und die in der Zulassung genannten Nebenbestimmungen erfüllt sind;</w:t>
      </w:r>
    </w:p>
    <w:p>
      <w:pPr>
        <w:ind w:left="420"/>
      </w:pPr>
      <w:r>
        <w:t xml:space="preserve">2. muss die ausstellende zuständige Behörde über Änderungen des zugelassenen Baumusters nach Absatz 6.2.2.5.4.10 Buchstabe a ADR/RID in Kenntnis setzen;</w:t>
      </w:r>
    </w:p>
    <w:p>
      <w:pPr>
        <w:ind w:left="420"/>
      </w:pPr>
      <w:r>
        <w:t xml:space="preserve">3. hat dem Verpacker die Anweisungen für das Befüllen und Verschließen der Versandstücke nach Unterabschnitt 4.1.4.1 Verpackungsanweisung P 650 Absatz 12 ADR/RID zu liefern und</w:t>
      </w:r>
    </w:p>
    <w:p>
      <w:pPr>
        <w:ind w:left="420"/>
      </w:pPr>
      <w:r>
        <w:t xml:space="preserve">4. muss nach Absatz 6.2.3.11.3 ADR/RID dem Eigentümer eines Bergungsdruckgefäßes eine Kopie der Zulassungsbescheinigung zur Verfügung stellen.</w:t>
      </w:r>
    </w:p>
    <w:p>
      <w:r>
        <w:t xml:space="preserve">(2) Der Rekonditionierer im Straßen- und Eisenbahnverkehr sowie in der Binnenschifffahrt darf an rekonditionierten Verpackungen die Kennzeichen nach Abschnitt 6.1.3 nur anbringen, sofern die Verpackungen in Übereinstimmung mit dem anerkannten Qualitätssicherungsprogramm nach Unterabschnitt 6.1.1.4 ADR/RID rekonditioniert wurden und die im Anerkennungsbescheid genannten Nebenbestimmungen erfüllt sind.</w:t>
      </w:r>
    </w:p>
    <w:p>
      <w:r>
        <w:t xml:space="preserve">(3) Die Stelle, die Inspektionen und Prüfungen von IBC nach Absatz 6.5.4.4.1, 6.5.4.4.2 oder 6.5.4.5.2 im Straßen- und Eisenbahnverkehr sowie in der Binnenschifffahrt durchführt, darf an IBC die Kennzeichen nach den Absätzen 6.5.2.2.1 und 6.5.4.5.3 ADR/RID nur anbringen, sofern die im Anerkennungsbescheid dieser Stelle genannten Nebenbestimmungen eingehalten werden.</w:t>
      </w:r>
    </w:p>
    <w:p>
      <w:r>
        <w:rPr>
          <w:color w:val="555555"/>
          <w:sz w:val="17"/>
        </w:rPr>
        <w:t xml:space="preserve">Zitiervorschlag: § 25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