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GGVSEB — Pflichten des Betreibers eines Tankcontainers, ortsbeweglichen Tanks, MEGC, Schüttgut-Containers oder MEMU</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Der Betreiber eines Tankcontainers, ortsbeweglichen Tanks, MEGC, Schüttgut-Containers oder MEMU im Straßen- und Eisenbahnverkehr sowie in der Binnenschifffahrt hat dafür zu sorgen, dass</w:t>
      </w:r>
    </w:p>
    <w:p>
      <w:pPr>
        <w:ind w:left="420"/>
      </w:pPr>
      <w:r>
        <w:t xml:space="preserve">1. Tankcontainer, ortsbewegliche Tanks, MEGC, Schüttgut-Container und flexible Schüttgut-Container auch zwischen den Prüfterminen den Verwendungs-, Bau-, Ausrüstungs- und Kennzeichnungsvorschriften nach den Unterabschnitten 4.2.1.2, 4.2.2.3, 4.2.3.3, 4.2.4.3, dem Absatz 4.3.2.3.2, den Abschnitten 6.7.2, 6.7.3, 6.7.4, 6.7.5, den Unterabschnitten 6.8.2.1, 6.8.2.2, 6.8.2.5, 6.8.3.1, 6.8.3.2, 6.8.3.5 und den anwendbaren Sondervorschriften in Abschnitt 6.8.4 Buchstabe e, den Unterabschnitten 6.9.2.2, 6.9.2.3, 6.9.2.4, 6.9.2.5, 6.9.2.10, 6.11.3.1, 6.11.3.2 und 6.11.3.4 und den Abschnitten 6.11.4 und 6.11.5 ADR/RID entsprechen, mit Ausnahme der durch den Befüller anzugebenden beförderten Stoffe und Gase;</w:t>
      </w:r>
    </w:p>
    <w:p>
      <w:pPr>
        <w:ind w:left="420"/>
      </w:pPr>
      <w:r>
        <w:t xml:space="preserve">2. nach Maßgabe der Absätze 6.7.2.19.7, 6.7.2.19.11, 6.7.3.15.7, 6.7.4.14.7, 6.7.4.14.12, 6.8.2.4.4, 6.8.3.4.16 und des Unterabschnitts 6.9.2.8 ADR/RID eine außerordentliche Prüfung durchgeführt wird;</w:t>
      </w:r>
    </w:p>
    <w:p>
      <w:pPr>
        <w:ind w:left="420"/>
      </w:pPr>
      <w:r>
        <w:t xml:space="preserve">3. nur Tankcontainer, ortsbewegliche Tanks oder MEGC verwendet werden, deren Dicke der Tankwände den in Absatz 4.3.2.3.1, den Unterabschnitten 6.7.2.4, 6.7.3.4, 6.7.4.4 und den Absätzen 6.8.2.1.17 bis 6.8.2.1.20 ADR/RID genannten Anforderungen entspricht;</w:t>
      </w:r>
    </w:p>
    <w:p>
      <w:pPr>
        <w:ind w:left="420"/>
      </w:pPr>
      <w:r>
        <w:t xml:space="preserve">4. MEGC nach Absatz 4.2.4.5.6 ADR/RID nicht zur Befüllung übergeben werden;</w:t>
      </w:r>
    </w:p>
    <w:p>
      <w:pPr>
        <w:ind w:left="420"/>
      </w:pPr>
      <w:r>
        <w:t xml:space="preserve">5. an ortsbeweglichen Tanks die Druckentlastungseinrichtungen nach Absatz 4.2.1.17.1 ADR/RID geprüft werden;</w:t>
      </w:r>
    </w:p>
    <w:p>
      <w:pPr>
        <w:ind w:left="420"/>
      </w:pPr>
      <w:r>
        <w:t xml:space="preserve">6. für Tankcontainer und MEGC die Tankakte nach Absatz 4.3.2.1.7 ADR/RID geführt, aufbewahrt, an einen neuen Eigentümer oder Betreiber übergeben, auf Anforderung zuständigen Behörden vorgelegt und dem Sachverständigen zur Verfügung gestellt wird;</w:t>
      </w:r>
    </w:p>
    <w:p>
      <w:pPr>
        <w:ind w:left="420"/>
      </w:pPr>
      <w:r>
        <w:t xml:space="preserve">7. die MEMU nach Absatz 6.12.3.2.6 ADR untersucht und geprüft werden und</w:t>
      </w:r>
    </w:p>
    <w:p>
      <w:pPr>
        <w:ind w:left="420"/>
      </w:pPr>
      <w:r>
        <w:t xml:space="preserve">8. bei der Beförderung mit einer MEMU die Schlösser nach Unterabschnitt 4.7.2.5 ADR verwendet werden.</w:t>
      </w:r>
    </w:p>
    <w:p>
      <w:r>
        <w:rPr>
          <w:color w:val="555555"/>
          <w:sz w:val="17"/>
        </w:rPr>
        <w:t xml:space="preserve">Zitiervorschlag: § 24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