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GGVSEB — Pflichten des Entladers</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Der Entlader im Straßen- und Eisenbahnverkehr sowie in der Binnenschifffahrt hat</w:t>
      </w:r>
    </w:p>
    <w:p>
      <w:pPr>
        <w:ind w:left="420"/>
      </w:pPr>
      <w:r>
        <w:t xml:space="preserve">1. sich nach Absatz 1.4.3.7.1 ADR/RID/ADN durch einen Vergleich der entsprechenden Informationen im Beförderungspapier mit den Informationen auf dem Versandstück, Container, Tank, MEMU, MEGC, Fahrzeug, Wagen oder Beförderungsmittel zu vergewissern, dass die richtigen Güter ausgeladen werden;</w:t>
      </w:r>
    </w:p>
    <w:p>
      <w:pPr>
        <w:ind w:left="420"/>
      </w:pPr>
      <w:r>
        <w:t xml:space="preserve">2. nach Absatz 1.4.3.7.1 ADR/RID/ADN vor und während der Entladung zu prüfen, ob die Verpackungen, der Tank, das Fahrzeug, der Wagen, das Beförderungsmittel oder der Container so stark beschädigt worden sind, dass eine Gefahr für den Entladevorgang entsteht; in diesem Fall hat er sich zu vergewissern, dass die Entladung erst durchgeführt wird, wenn geeignete Maßnahmen zur Abwehr einer Gefahr ergriffen worden sind;</w:t>
      </w:r>
    </w:p>
    <w:p>
      <w:pPr>
        <w:ind w:left="420"/>
      </w:pPr>
      <w:r>
        <w:t xml:space="preserve">3. nach Absatz 1.4.3.7.1 ADR/RID/ADN unmittelbar nach der Entladung des Tanks, Fahrzeugs, Wagens, Beförderungsmittels oder Containers</w:t>
      </w:r>
    </w:p>
    <w:p>
      <w:pPr>
        <w:ind w:left="780"/>
      </w:pPr>
      <w:r>
        <w:t xml:space="preserve">a) gefährliche Rückstände zu entfernen, die nach dem Entladevorgang an der Außenseite des Tanks, Fahrzeugs, Wagens, Beförderungsmittels oder Containers anhaften, und</w:t>
      </w:r>
    </w:p>
    <w:p>
      <w:pPr>
        <w:ind w:left="780"/>
      </w:pPr>
      <w:r>
        <w:t xml:space="preserve">b) den Verschluss der Ventile und der Besichtigungsöffnungen sicherzustellen;</w:t>
      </w:r>
    </w:p>
    <w:p>
      <w:pPr>
        <w:ind w:left="420"/>
      </w:pPr>
      <w:r>
        <w:t xml:space="preserve">4. nach Absatz 1.4.3.7.1 ADR/RID/ADN sicherzustellen, dass die vorgeschriebene Reinigung und Entgiftung von Fahrzeugen, Wagen, Beförderungsmitteln oder Containern vorgenommen wird;</w:t>
      </w:r>
    </w:p>
    <w:p>
      <w:pPr>
        <w:ind w:left="420"/>
      </w:pPr>
      <w:r>
        <w:t xml:space="preserve">5. nach Absatz 1.4.3.7.1 ADR/RID/ADN dafür zu sorgen, dass bei vollständig entladenen, gereinigten, entgasten und entgifteten Fahrzeugen, Wagen, Beförderungsmitteln, Containern, MEGC, MEMU, Tankcontainern und ortsbeweglichen Tanks keine Großzettel (Placards), keine Kennzeichen und keine orangefarbenen Tafeln gemäß den Kapiteln 3.4 und 5.3 ADR/RID/ADN mehr sichtbar sind, und</w:t>
      </w:r>
    </w:p>
    <w:p>
      <w:pPr>
        <w:ind w:left="420"/>
      </w:pPr>
      <w:r>
        <w:t xml:space="preserve">6. das Warnkennzeichen nach Absatz 5.5.2.3.4 ADR/RID/ADN nach der Belüftung und Entladung von begasten Güterbeförderungseinheiten zu entfernen.</w:t>
      </w:r>
    </w:p>
    <w:p>
      <w:r>
        <w:t xml:space="preserve">(2) Der Entlader im Straßenverkehr hat dafür zu sorgen, dass</w:t>
      </w:r>
    </w:p>
    <w:p>
      <w:pPr>
        <w:ind w:left="420"/>
      </w:pPr>
      <w:r>
        <w:t xml:space="preserve">1. bei Fahrzeugen, ortsbeweglichen Tanks oder Tankcontainern die Maßnahmen zur Vermeidung elektrostatischer Aufladungen nach Abschnitt 7.5.10 ADR durchgeführt werden;</w:t>
      </w:r>
    </w:p>
    <w:p>
      <w:pPr>
        <w:ind w:left="420"/>
      </w:pPr>
      <w:r>
        <w:t xml:space="preserve">2. die zusätzliche Vorschrift S2 Absatz 2 und 3 in Kapitel 8.5 ADR beachtet wird;</w:t>
      </w:r>
    </w:p>
    <w:p>
      <w:pPr>
        <w:ind w:left="420"/>
      </w:pPr>
      <w:r>
        <w:t xml:space="preserve">3. der Fahrzeugführer vor der erstmaligen Handhabung der Entleerungseinrichtung nach Anlage 2 Gliederungsnummer 3.2 Satz 2 in Verbindung mit Satz 1 eingewiesen wird und die Einweisung nach Anlage 2 Gliederungsnummer 3.2 Satz 3 und 4 dokumentiert und aufbewahrt wird, und</w:t>
      </w:r>
    </w:p>
    <w:p>
      <w:pPr>
        <w:ind w:left="420"/>
      </w:pPr>
      <w:r>
        <w:t xml:space="preserve">4. die Entladevorschriften nach den Unterabschnitten 7.5.1.3 und 7.5.7.3 ADR beachtet werden.</w:t>
      </w:r>
    </w:p>
    <w:p>
      <w:r>
        <w:t xml:space="preserve">(3) Der Entlader im Eisenbahnverkehr hat dafür zu sorgen, dass die Entladevorschriften nach den Unterabschnitten 7.5.1.3 und 7.5.7.3 RID beachtet werden.</w:t>
      </w:r>
    </w:p>
    <w:p>
      <w:r>
        <w:t xml:space="preserve">(4) Der Entlader in der Binnenschifffahrt hat</w:t>
      </w:r>
    </w:p>
    <w:p>
      <w:pPr>
        <w:ind w:left="420"/>
      </w:pPr>
      <w:r>
        <w:t xml:space="preserve">1. nach Absatz 1.4.3.7.1 Buchstabe g ADN sicherzustellen, dass beim Entladen die landseitige Einrichtung mit einem oder zwei Evakuierungsmitteln ausgerüstet ist, und</w:t>
      </w:r>
    </w:p>
    <w:p>
      <w:pPr>
        <w:ind w:left="420"/>
      </w:pPr>
      <w:r>
        <w:t xml:space="preserve">2. nach Absatz 1.4.3.7.1 ADN betreffend das Entladen von Ladetanks</w:t>
      </w:r>
    </w:p>
    <w:p>
      <w:pPr>
        <w:ind w:left="780"/>
      </w:pPr>
      <w:r>
        <w:t xml:space="preserve">a) vor dem Entladen der Ladetanks eines Tankschiffes seinen Teil der Prüfliste nach Unterabschnitt 7.2.4.10 ADN auszufüllen;</w:t>
      </w:r>
    </w:p>
    <w:p>
      <w:pPr>
        <w:ind w:left="780"/>
      </w:pPr>
      <w:r>
        <w:t xml:space="preserve">b) sicherzustellen, dass in der Gasrückfuhrleitung, wenn es erforderlich ist, sie an die Gasabfuhrleitung anzuschließen, und nach Unterabschnitt 3.2.3.2 Tabelle C Spalte 17 ADN Explosionsschutz erforderlich ist, eine Flammendurchschlagsicherung vorhanden ist, die das Schiff gegen Detonation und Flammendurchschlag von Land aus schützt;</w:t>
      </w:r>
    </w:p>
    <w:p>
      <w:pPr>
        <w:ind w:left="780"/>
      </w:pPr>
      <w:r>
        <w:t xml:space="preserve">c) sicherzustellen, dass die Löschrate mit der an Bord mitzuführenden Instruktion für die Lade- und Löschraten nach Absatz 9.3.2.25.9 oder 9.3.3.25.9 ADN übereinstimmt und der Druck an der Übergabestelle der Gasabfuhr- und Gasrückfuhrleitung den Öffnungsdruck des Hochgeschwindigkeitsventils nicht übersteigt;</w:t>
      </w:r>
    </w:p>
    <w:p>
      <w:pPr>
        <w:ind w:left="780"/>
      </w:pPr>
      <w:r>
        <w:t xml:space="preserve">d) sicherzustellen, dass die von ihm zur Verfügung gestellten Dichtungen zwischen den Verbindungsflanschen der Schiff-Land-Verbindung der Lade- und Löschleitungen aus Werkstoffen bestehen, die weder durch die Ladung angegriffen werden noch eine Zersetzung der Ladung oder eine schädliche oder gefährliche Reaktion mit der Ladung verursachen können;</w:t>
      </w:r>
    </w:p>
    <w:p>
      <w:pPr>
        <w:ind w:left="780"/>
      </w:pPr>
      <w:r>
        <w:t xml:space="preserve">e) sicherzustellen, dass für die gesamte Dauer des Löschens eine ständige und zweckmäßige Überwachung gewährleistet ist, und</w:t>
      </w:r>
    </w:p>
    <w:p>
      <w:pPr>
        <w:ind w:left="780"/>
      </w:pPr>
      <w:r>
        <w:t xml:space="preserve">f) sicherzustellen, dass beim Löschen mit der bordeigenen Löschpumpe diese von der Landanlage aus abgeschaltet werden kann.</w:t>
      </w:r>
    </w:p>
    <w:p>
      <w:r>
        <w:rPr>
          <w:color w:val="555555"/>
          <w:sz w:val="17"/>
        </w:rPr>
        <w:t xml:space="preserve">Zitiervorschlag: § 23a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