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GGVSEB — Pflichten des Befüllers</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Der Befüller im Straßen- und Eisenbahnverkehr sowie in der Binnenschifffahrt</w:t>
      </w:r>
    </w:p>
    <w:p>
      <w:pPr>
        <w:ind w:left="420"/>
      </w:pPr>
      <w:r>
        <w:t xml:space="preserve">1. darf gefährliche Güter dem Beförderer nur übergeben, wenn sie nach § 3 befördert werden dürfen;</w:t>
      </w:r>
    </w:p>
    <w:p>
      <w:pPr>
        <w:ind w:left="420"/>
      </w:pPr>
      <w:r>
        <w:t xml:space="preserve">2. darf Tanks nach Unterabschnitt 4.2.2.8 Buchstabe c und d, 4.2.3.8 Buchstabe c bis e sowie 4.3.3.6 Buchstabe c bis e und g ADR/RID dem Beförderer nicht übergeben;</w:t>
      </w:r>
    </w:p>
    <w:p>
      <w:pPr>
        <w:ind w:left="420"/>
      </w:pPr>
      <w:r>
        <w:t xml:space="preserve">3. darf ortsbewegliche Tanks und UN-MEGC nach Unterabschnitt 4.2.1.1, Unterabschnitt 4.2.2.2 in Verbindung mit Absatz 4.2.2.7.1, Unterabschnitt 4.2.3.2 in Verbindung mit Absatz 4.2.3.6.1, Unterabschnitt 4.2.4.1 in Verbindung mit Absatz 4.2.4.5.1 ADR/RID nur mit den für diese Tanks zugelassenen gefährlichen Gütern befüllen, wenn das Datum der nächsten Prüfung nicht überschritten ist;</w:t>
      </w:r>
    </w:p>
    <w:p>
      <w:pPr>
        <w:ind w:left="420"/>
      </w:pPr>
      <w:r>
        <w:t xml:space="preserve">4. hat dafür zu sorgen, dass an Tanks und UN-MEGC die Dichtheit der Verschlusseinrichtungen geprüft wird und die Tanks und UN-MEGC nach Absatz 4.2.1.9.6 Buchstabe c und Unterabschnitt 4.2.2.8 Buchstabe b, Unterabschnitt 4.2.3.8 Buchstabe b, Unterabschnitt 4.2.4.6 Buchstabe a und Unterabschnitt 4.3.3.6 Buchstabe b ADR/RID nicht befördert werden, wenn sie undicht sind;</w:t>
      </w:r>
    </w:p>
    <w:p>
      <w:pPr>
        <w:ind w:left="420"/>
      </w:pPr>
      <w:r>
        <w:t xml:space="preserve">5. darf Tanks, deren Datum der nächsten Prüfung nicht überschritten ist, mit den nach Absatz 4.3.2.1.5 zulässigen gefährlichen Gütern nur befüllen, wenn die Beförderung dieser gefährlichen Güter nach Absatz 4.3.2.1.1 ADR/RID in Tanks zulässig ist;</w:t>
      </w:r>
    </w:p>
    <w:p>
      <w:pPr>
        <w:ind w:left="420"/>
      </w:pPr>
      <w:r>
        <w:t xml:space="preserve">6. hat dafür zu sorgen, dass der zulässige Füllungsgrad, der zulässige Füllungszustand, der zulässige Füllfaktor oder die zulässige Masse der Füllung je Liter Fassungsraum oder die zulässige Bruttomasse nach den Absätzen 4.2.1.9.1.1, 4.2.1.13.13, 4.2.2.7.2, 4.2.2.7.3, Unterabschnitt 4.2.2.8 Buchstabe a, den Absätzen 4.2.3.6.2, 4.2.3.6.3, 4.2.3.6.4, Unterabschnitt 4.2.3.8 Buchstabe a, den Absätzen 4.2.4.5.2 und 4.2.4.5.3, den anwendbaren Sondervorschriften in Unterabschnitt 4.2.5.3, den Vorschriften in Unterabschnitt 4.3.2.2, den Absätzen 4.3.3.2.3 und 4.3.3.2.5, Unterabschnitt 4.3.3.6 Buchstabe a oder den anwendbaren Sondervorschriften in Abschnitt 4.3.5 ADR/RID eingehalten wird;</w:t>
      </w:r>
    </w:p>
    <w:p>
      <w:pPr>
        <w:ind w:left="420"/>
      </w:pPr>
      <w:r>
        <w:t xml:space="preserve">7. hat dafür zu sorgen, dass bei Tanks nach dem Befüllen nach den anwendbaren Sondervorschriften in Kapitel 3.3 ADR/RID/ADN und den Vorschriften nach Absatz 4.2.4.5.5 die Dichtheit der Verschlüsse und der Ausrüstung geprüft wird oder nach Absatz 4.3.2.3.3 ADR/RID alle Verschlüsse in geschlossener Stellung sind und keine Undichtheit auftritt;</w:t>
      </w:r>
    </w:p>
    <w:p>
      <w:pPr>
        <w:ind w:left="420"/>
      </w:pPr>
      <w:r>
        <w:t xml:space="preserve">8. hat dafür zu sorgen, dass nach Absatz 4.2.1.9.6 Buchstabe b oder Absatz 4.3.2.3.5 ADR/RID an den Tanks außen keine gefährlichen Reste des Füllgutes anhaften;</w:t>
      </w:r>
    </w:p>
    <w:p>
      <w:pPr>
        <w:ind w:left="420"/>
      </w:pPr>
      <w:r>
        <w:t xml:space="preserve">9. hat dafür zu sorgen, dass nach Unterabschnitt 4.2.1.6 oder Absatz 4.3.2.3.6 ADR/RID Tanks nicht mit Stoffen, die gefährlich miteinander reagieren können, in unmittelbar nebeneinanderliegenden Tankabteilen oder -kammern befüllt werden;</w:t>
      </w:r>
    </w:p>
    <w:p>
      <w:pPr>
        <w:ind w:left="420"/>
      </w:pPr>
      <w:r>
        <w:t xml:space="preserve">10. hat dafür zu sorgen, dass Tanks, Batterie-Fahrzeuge, Batteriewagen und MEGC, deren Datum der nächsten Prüfung überschritten ist, nach Absatz 4.3.2.3.7 ADR/RID nicht befüllt und nicht zur Beförderung aufgegeben werden;</w:t>
      </w:r>
    </w:p>
    <w:p>
      <w:pPr>
        <w:ind w:left="420"/>
      </w:pPr>
      <w:r>
        <w:t xml:space="preserve">11. hat dafür zu sorgen, dass bei wechselweiser Verwendung von Tanks die Entleerungs-, Reinigungs- und Entgasungsmaßnahmen nach Absatz 4.3.3.3.1 ADR/RID durchgeführt werden;</w:t>
      </w:r>
    </w:p>
    <w:p>
      <w:pPr>
        <w:ind w:left="420"/>
      </w:pPr>
      <w:r>
        <w:t xml:space="preserve">12. hat dafür zu sorgen, dass an ortsbeweglichen Tanks die Bezeichnung des beförderten tiefgekühlt verflüssigten Gases nach Absatz 6.7.4.15.2 ADR/RID angegeben wird;</w:t>
      </w:r>
    </w:p>
    <w:p>
      <w:pPr>
        <w:ind w:left="420"/>
      </w:pPr>
      <w:r>
        <w:t xml:space="preserve">13. hat dafür zu sorgen, dass an festverbundenen Tanks, Aufsetztanks, Kesselwagen, Tankcontainern, MEGC, Batterie-Fahrzeugen und Batteriewagen die offizielle Benennung der beförderten Stoffe und Gase und bei Gasen, die einer n.a.g.-Eintragung zugeordnet sind, zusätzlich die technische Benennung nach den Absätzen 6.8.3.5.6, 6.8.3.5.11 und 6.8.3.5.12 und die Kennzeichen nach den anwendbaren Sondervorschriften in Abschnitt 6.8.4 Buchstabe e ADR/RID angegeben werden;</w:t>
      </w:r>
    </w:p>
    <w:p>
      <w:pPr>
        <w:ind w:left="420"/>
      </w:pPr>
      <w:r>
        <w:t xml:space="preserve">14. hat dafür zu sorgen, dass befüllte MEGC nach Maßgabe des Unterabschnitts 4.2.4.6 Buchstabe b bis d ADR/RID nicht zur Beförderung aufgegeben werden, und</w:t>
      </w:r>
    </w:p>
    <w:p>
      <w:pPr>
        <w:ind w:left="420"/>
      </w:pPr>
      <w:r>
        <w:t xml:space="preserve">15. darf Tanks nur befüllen, wenn sich die Tanks und ihre Ausrüstungsteile in einem technisch einwandfreien Zustand befinden.</w:t>
      </w:r>
    </w:p>
    <w:p>
      <w:r>
        <w:t xml:space="preserve">(2) Der Befüller im Straßenverkehr</w:t>
      </w:r>
    </w:p>
    <w:p>
      <w:pPr>
        <w:ind w:left="420"/>
      </w:pPr>
      <w:r>
        <w:t xml:space="preserve">1. hat den Fahrzeugführer auf das gefährliche Gut mit den Angaben nach Absatz 5.4.1.1.1 Buchstabe a bis d ADR sowie, wenn Güter auf der Straße befördert werden, die § 35 Absatz 4 Satz 1 oder § 35a Absatz 1 oder Absatz 4 Satz 1 unterliegen, auf deren Beachtung schriftlich oder elektronisch hinzuweisen;</w:t>
      </w:r>
    </w:p>
    <w:p>
      <w:pPr>
        <w:ind w:left="420"/>
      </w:pPr>
      <w:r>
        <w:t xml:space="preserve">2. hat dem Fahrzeugführer die Nummern zur Kennzeichnung der Gefahr für die orangefarbenen Tafeln nach Abschnitt 5.3.2 ADR mitzuteilen;</w:t>
      </w:r>
    </w:p>
    <w:p>
      <w:pPr>
        <w:ind w:left="420"/>
      </w:pPr>
      <w:r>
        <w:t xml:space="preserve">3. hat dafür zu sorgen, dass an Tankcontainern, ortsbeweglichen Tanks, MEGC und Containern mit loser Schüttung</w:t>
      </w:r>
    </w:p>
    <w:p>
      <w:pPr>
        <w:ind w:left="780"/>
      </w:pPr>
      <w:r>
        <w:t xml:space="preserve">a) Großzettel (Placards) nach Unterabschnitt 5.3.1.2 ADR,</w:t>
      </w:r>
    </w:p>
    <w:p>
      <w:pPr>
        <w:ind w:left="780"/>
      </w:pPr>
      <w:r>
        <w:t xml:space="preserve">b) die orangefarbene Tafel nach Abschnitt 5.3.2 ADR,</w:t>
      </w:r>
    </w:p>
    <w:p>
      <w:pPr>
        <w:ind w:left="780"/>
      </w:pPr>
      <w:r>
        <w:t xml:space="preserve">c) das Kennzeichen nach Abschnitt 5.3.3 ADR mit Ausnahme an MEGC und</w:t>
      </w:r>
    </w:p>
    <w:p>
      <w:pPr>
        <w:ind w:left="780"/>
      </w:pPr>
      <w:r>
        <w:t xml:space="preserve">d) das Kennzeichen nach Abschnitt 5.3.6 ADR</w:t>
      </w:r>
    </w:p>
    <w:p>
      <w:pPr>
        <w:ind w:left="420"/>
      </w:pPr>
      <w:r>
        <w:t xml:space="preserve">angebracht werden;</w:t>
      </w:r>
    </w:p>
    <w:p>
      <w:pPr>
        <w:ind w:left="420"/>
      </w:pPr>
      <w:r>
        <w:t xml:space="preserve">4. hat dafür zu sorgen, dass die Beladevorschriften nach Unterabschnitt 7.5.1.2 ADR beachtet werden;</w:t>
      </w:r>
    </w:p>
    <w:p>
      <w:pPr>
        <w:ind w:left="420"/>
      </w:pPr>
      <w:r>
        <w:t xml:space="preserve">5. hat das Rauchverbot nach den Abschnitten 7.5.9 und 8.3.5 ADR zu beachten;</w:t>
      </w:r>
    </w:p>
    <w:p>
      <w:pPr>
        <w:ind w:left="420"/>
      </w:pPr>
      <w:r>
        <w:t xml:space="preserve">6. hat dafür zu sorgen, dass die zusätzliche Vorschrift S2 Absatz 2 und 3 in Kapitel 8.5 ADR beachtet wird;</w:t>
      </w:r>
    </w:p>
    <w:p>
      <w:pPr>
        <w:ind w:left="420"/>
      </w:pPr>
      <w:r>
        <w:t xml:space="preserve">7. hat dafür zu sorgen, dass der Fahrzeugführer vor der erstmaligen Handhabung der Fülleinrichtung nach Anlage 2 Gliederungsnummer 3.2 Satz 1 eingewiesen wird und die Einweisung nach Anlage 2 Gliederungsnummer 3.2 Satz 3 und 4 dokumentiert und aufbewahrt wird;</w:t>
      </w:r>
    </w:p>
    <w:p>
      <w:pPr>
        <w:ind w:left="420"/>
      </w:pPr>
      <w:r>
        <w:t xml:space="preserve">8. hat dafür zu sorgen, dass die anwendbaren Sondervorschriften in Kapitel 3.3 und die Vorschriften nach Kapitel 7.3 ADR über die Beförderung in loser Schüttung beachtet werden;</w:t>
      </w:r>
    </w:p>
    <w:p>
      <w:pPr>
        <w:ind w:left="420"/>
      </w:pPr>
      <w:r>
        <w:t xml:space="preserve">9. hat dafür zu sorgen, dass bei Fahrzeugen, ortsbeweglichen Tanks oder Tankcontainern die Maßnahmen zur Vermeidung elektrostatischer Aufladungen nach Abschnitt 7.5.10 ADR durchgeführt werden;</w:t>
      </w:r>
    </w:p>
    <w:p>
      <w:pPr>
        <w:ind w:left="420"/>
      </w:pPr>
      <w:r>
        <w:t xml:space="preserve">10. darf Tanks nach Absatz 4.3.2.1.1 nur mit den nach Absatz 4.3.2.1.5 zugelassenen gefährlichen Gütern befüllen, wenn bei den verwendeten Fahrzeugen das Gültigkeitsdatum der ADR-Zulassungsbescheinigung nach Unterabschnitt 9.1.3.4 ADR nicht überschritten ist;</w:t>
      </w:r>
    </w:p>
    <w:p>
      <w:pPr>
        <w:ind w:left="420"/>
      </w:pPr>
      <w:r>
        <w:t xml:space="preserve">11. hat sich zu vergewissern, dass die Vorschriften für die Beförderung in Tanks nach Abschnitt 7.4.1 ADR eingehalten sind, und</w:t>
      </w:r>
    </w:p>
    <w:p>
      <w:pPr>
        <w:ind w:left="420"/>
      </w:pPr>
      <w:r>
        <w:t xml:space="preserve">12. hat dafür zu sorgen, dass die Verwendungsvorschriften für flexible Schüttgut-Container nach Unterabschnitt 7.3.2.10 ADR eingehalten werden.</w:t>
      </w:r>
    </w:p>
    <w:p>
      <w:r>
        <w:t xml:space="preserve">(3) Der Befüller im Eisenbahnverkehr hat</w:t>
      </w:r>
    </w:p>
    <w:p>
      <w:pPr>
        <w:ind w:left="420"/>
      </w:pPr>
      <w:r>
        <w:t xml:space="preserve">1. dafür zu sorgen, dass vor und nach dem Befüllen von Flüssiggaskesselwagen die Kontrollvorschriften nach den Absätzen 4.3.3.4.1 und 4.3.3.4.3 RID beachtet werden;</w:t>
      </w:r>
    </w:p>
    <w:p>
      <w:pPr>
        <w:ind w:left="420"/>
      </w:pPr>
      <w:r>
        <w:t xml:space="preserve">2. dafür zu sorgen, dass</w:t>
      </w:r>
    </w:p>
    <w:p>
      <w:pPr>
        <w:ind w:left="780"/>
      </w:pPr>
      <w:r>
        <w:t xml:space="preserve">a) Großzettel (Placards) nach den Unterabschnitten 5.3.1.2 und 5.3.1.4 RID,</w:t>
      </w:r>
    </w:p>
    <w:p>
      <w:pPr>
        <w:ind w:left="780"/>
      </w:pPr>
      <w:r>
        <w:t xml:space="preserve">b) Rangierzettel nach Unterabschnitt 5.3.4.1 RID,</w:t>
      </w:r>
    </w:p>
    <w:p>
      <w:pPr>
        <w:ind w:left="780"/>
      </w:pPr>
      <w:r>
        <w:t xml:space="preserve">c) die orangefarbene Tafel nach Absatz 5.3.2.1.1 Satz 1 und Absatz 5.3.2.1.2 RID,</w:t>
      </w:r>
    </w:p>
    <w:p>
      <w:pPr>
        <w:ind w:left="780"/>
      </w:pPr>
      <w:r>
        <w:t xml:space="preserve">d) das Kennzeichen nach Abschnitt 5.3.3 RID und</w:t>
      </w:r>
    </w:p>
    <w:p>
      <w:pPr>
        <w:ind w:left="780"/>
      </w:pPr>
      <w:r>
        <w:t xml:space="preserve">e) das Kennzeichen nach Abschnitt 5.3.6 RID</w:t>
      </w:r>
    </w:p>
    <w:p>
      <w:pPr>
        <w:ind w:left="420"/>
      </w:pPr>
      <w:r>
        <w:t xml:space="preserve">angebracht werden;</w:t>
      </w:r>
    </w:p>
    <w:p>
      <w:pPr>
        <w:ind w:left="420"/>
      </w:pPr>
      <w:r>
        <w:t xml:space="preserve">3. dafür zu sorgen, dass die Vorschriften über die Beförderung in loser Schüttung nach Kapitel 7.3 RID beachtet werden;</w:t>
      </w:r>
    </w:p>
    <w:p>
      <w:pPr>
        <w:ind w:left="420"/>
      </w:pPr>
      <w:r>
        <w:t xml:space="preserve">4. dafür zu sorgen, dass die Beladevorschriften nach den Unterabschnitten 7.5.1.1 und 7.5.1.2 RID beachtet werden;</w:t>
      </w:r>
    </w:p>
    <w:p>
      <w:pPr>
        <w:ind w:left="420"/>
      </w:pPr>
      <w:r>
        <w:t xml:space="preserve">5. nach Kapitel 3.3 Sondervorschrift 665 Satz 1 Buchstabe b Satz 2 RID sicherzustellen und zu dokumentieren, dass die maximal zulässige Temperatur der Ladung während oder unmittelbar nach dem Befüllen nicht überschritten wird, und</w:t>
      </w:r>
    </w:p>
    <w:p>
      <w:pPr>
        <w:ind w:left="420"/>
      </w:pPr>
      <w:r>
        <w:t xml:space="preserve">6. dafür zu sorgen, dass die Verwendungsvorschriften für flexible Schüttgut-Container nach Unterabschnitt 7.3.2.10 RID eingehalten werden.</w:t>
      </w:r>
    </w:p>
    <w:p>
      <w:r>
        <w:t xml:space="preserve">(4) Der Befüller in der Binnenschifffahrt hat</w:t>
      </w:r>
    </w:p>
    <w:p>
      <w:pPr>
        <w:ind w:left="420"/>
      </w:pPr>
      <w:r>
        <w:t xml:space="preserve">1. den Schiffsführer auf das gefährliche Gut mit den Angaben nach Absatz 5.4.1.1.1 Satz 1 Buchstabe a bis d und Absatz 5.4.1.1.2 Satz 1 Buchstabe a bis d ADN hinzuweisen;</w:t>
      </w:r>
    </w:p>
    <w:p>
      <w:pPr>
        <w:ind w:left="420"/>
      </w:pPr>
      <w:r>
        <w:t xml:space="preserve">2. dafür zu sorgen, dass an Tankcontainern, ortsbeweglichen Tanks, MEGC und Containern mit gefährlichen Gütern in loser Schüttung</w:t>
      </w:r>
    </w:p>
    <w:p>
      <w:pPr>
        <w:ind w:left="780"/>
      </w:pPr>
      <w:r>
        <w:t xml:space="preserve">a) die Großzettel (Placards) nach Unterabschnitt 5.3.1.2 ADN,</w:t>
      </w:r>
    </w:p>
    <w:p>
      <w:pPr>
        <w:ind w:left="780"/>
      </w:pPr>
      <w:r>
        <w:t xml:space="preserve">b) die orangefarbene Tafel nach Unterabschnitt 5.3.2.1 ADN,</w:t>
      </w:r>
    </w:p>
    <w:p>
      <w:pPr>
        <w:ind w:left="780"/>
      </w:pPr>
      <w:r>
        <w:t xml:space="preserve">c) das Kennzeichen nach Abschnitt 5.3.3 ADN mit Ausnahme an MEGC und</w:t>
      </w:r>
    </w:p>
    <w:p>
      <w:pPr>
        <w:ind w:left="780"/>
      </w:pPr>
      <w:r>
        <w:t xml:space="preserve">d) das Kennzeichen nach Abschnitt 5.3.6 ADN</w:t>
      </w:r>
    </w:p>
    <w:p>
      <w:pPr>
        <w:ind w:left="420"/>
      </w:pPr>
      <w:r>
        <w:t xml:space="preserve">angebracht werden;</w:t>
      </w:r>
    </w:p>
    <w:p>
      <w:pPr>
        <w:ind w:left="420"/>
      </w:pPr>
      <w:r>
        <w:t xml:space="preserve">3. dafür zu sorgen, dass ein Tankschiff nur mit den gefährlichen Gütern gemäß der Schiffsstoffliste nach Absatz 1.16.1.2.5 befüllt wird und das Datum nach Absatz 1.16.1.2.1 Satz 3 ADN im Zulassungszeugnis für das Tankschiff nicht überschritten ist;</w:t>
      </w:r>
    </w:p>
    <w:p>
      <w:pPr>
        <w:ind w:left="420"/>
      </w:pPr>
      <w:r>
        <w:t xml:space="preserve">4. nach Unterabschnitt 1.4.3.3 Buchstabe q und x ADN sicherzustellen, dass beim Laden die landseitige Einrichtung mit einem oder zwei Evakuierungsmitteln ausgerüstet ist;</w:t>
      </w:r>
    </w:p>
    <w:p>
      <w:pPr>
        <w:ind w:left="420"/>
      </w:pPr>
      <w:r>
        <w:t xml:space="preserve">5. nach Unterabschnitt 1.4.3.3 Buchstabe v, wenn die Sondervorschrift 803 in Abschnitt 3.3.1 ADN Anwendung findet, sicherzustellen und zu dokumentieren, dass die maximal zulässige Temperatur beim Verladen nicht überschritten wird, und dem Schiffsführer die in der Sondervorschrift 803 Buchstabe d genannten Instruktionen zu erteilen;</w:t>
      </w:r>
    </w:p>
    <w:p>
      <w:pPr>
        <w:ind w:left="420"/>
      </w:pPr>
      <w:r>
        <w:t xml:space="preserve">6. nach Unterabschnitt 1.4.3.3 Buchstabe u ADN sicherzustellen, dass für die gesamte Dauer des Befüllens eine ständige und zweckmäßige Überwachung gewährleistet ist;</w:t>
      </w:r>
    </w:p>
    <w:p>
      <w:pPr>
        <w:ind w:left="420"/>
      </w:pPr>
      <w:r>
        <w:t xml:space="preserve">7. nach Unterabschnitt 1.4.3.3 Buchstabe m vor dem Befüllen der Ladetanks eines Tankschiffes seinen Teil der Prüfliste nach Unterabschnitt 7.2.4.10 ADN auszufüllen;</w:t>
      </w:r>
    </w:p>
    <w:p>
      <w:pPr>
        <w:ind w:left="420"/>
      </w:pPr>
      <w:r>
        <w:t xml:space="preserve">8. nach Unterabschnitt 1.4.3.3 Buchstabe r sicherzustellen, dass in der Gasrückfuhrleitung, wenn diese nach Absatz 7.2.4.25.5 ADN erforderlich ist, eine Flammendurchschlagsicherung vorhanden ist, die das Schiff gegen Detonation und Flammendurchschlag von Land aus schützt, und</w:t>
      </w:r>
    </w:p>
    <w:p>
      <w:pPr>
        <w:ind w:left="420"/>
      </w:pPr>
      <w:r>
        <w:t xml:space="preserve">9. sicherzustellen, dass die Laderate mit der an Bord mitzuführenden Instruktion für die Lade- und Löschraten nach Absatz 9.3.2.25.9 oder 9.3.3.25.9 ADN übereinstimmt und der Druck an der Übergabestelle der Gasabfuhr- und Gasrückfuhrleitung den Öffnungsdruck des Hochgeschwindigkeitsventils nicht übersteigt.</w:t>
      </w:r>
    </w:p>
    <w:p>
      <w:r>
        <w:rPr>
          <w:color w:val="555555"/>
          <w:sz w:val="17"/>
        </w:rPr>
        <w:t xml:space="preserve">Zitiervorschlag: § 23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