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GGVSEB — Pflichten des Verladers</w:t>
      </w:r>
    </w:p>
    <w:p>
      <w:r>
        <w:rPr>
          <w:color w:val="555555"/>
          <w:sz w:val="18"/>
        </w:rPr>
        <w:t xml:space="preserve">Gefahrgutverordnung Straße, Eisenbahn und Binnenschifffahrt</w:t>
      </w:r>
    </w:p>
    <w:p>
      <w:r>
        <w:rPr>
          <w:color w:val="555555"/>
          <w:sz w:val="18"/>
        </w:rPr>
        <w:t xml:space="preserve">Stand: 29.08.2023 (konsolidierte Textfassung, kein amtliches Inkrafttretensdatum)</w:t>
      </w:r>
    </w:p>
    <w:p>
      <w:r>
        <w:t xml:space="preserve">(1) Der Verlader im Straßen- und Eisenbahnverkehr sowie in der Binnenschifffahrt</w:t>
      </w:r>
    </w:p>
    <w:p>
      <w:pPr>
        <w:ind w:left="420"/>
      </w:pPr>
      <w:r>
        <w:t xml:space="preserve">1. darf gefährliche Güter dem Beförderer nur übergeben, wenn sie nach § 3 befördert werden dürfen;</w:t>
      </w:r>
    </w:p>
    <w:p>
      <w:pPr>
        <w:ind w:left="420"/>
      </w:pPr>
      <w:r>
        <w:t xml:space="preserve">2. hat bei der Übergabe verpackter gefährlicher Güter oder ungereinigter leerer Verpackungen zur Beförderung zu prüfen, ob die Verpackung erkennbar unvollständig oder beschädigt oder an der Außenseite mit Anhaftungen gefährlicher Rückstände versehen ist. Er darf ein Versandstück, dessen Verpackung erkennbar unvollständig oder beschädigt, insbesondere undicht ist, sodass gefährliches Gut austritt oder austreten kann oder an der Außenseite mit Anhaftungen gefährlicher Rückstände versehen ist, zur Beförderung erst übergeben, wenn der Mangel beseitigt worden ist. Dies gilt auch für die Beförderung nach den Kapiteln 3.4 und 3.5 ADR/RID/ADN;</w:t>
      </w:r>
    </w:p>
    <w:p>
      <w:pPr>
        <w:ind w:left="420"/>
      </w:pPr>
      <w:r>
        <w:t xml:space="preserve">3. hat dafür zu sorgen, dass ein Versandstück nach Teilentnahme des gefährlichen Gutes nur verladen wird, wenn die Verpackung den Anforderungen des Unterabschnitts 4.1.1.1 ADR/RID entspricht;</w:t>
      </w:r>
    </w:p>
    <w:p>
      <w:pPr>
        <w:ind w:left="420"/>
      </w:pPr>
      <w:r>
        <w:t xml:space="preserve">4. hat dafür zu sorgen, dass die Vorschriften über die leeren Verpackungen nach Unterabschnitt 4.1.1.11 in Verbindung mit Unterabschnitt 4.1.1.1 ADR/RID beachtet werden;</w:t>
      </w:r>
    </w:p>
    <w:p>
      <w:pPr>
        <w:ind w:left="420"/>
      </w:pPr>
      <w:r>
        <w:t xml:space="preserve">5. hat dafür zu sorgen, dass ein Warnkennzeichen nach den Absätzen 5.5.2.3.1 und 5.5.3.6.1 ADR/RID/ADN angebracht wird;</w:t>
      </w:r>
    </w:p>
    <w:p>
      <w:pPr>
        <w:ind w:left="420"/>
      </w:pPr>
      <w:r>
        <w:t xml:space="preserve">6. hat dafür zu sorgen, dass die Kennzeichnungsvorschriften nach den Abschnitten 3.4.13 bis 3.4.15 ADR/RID/ADN beachtet werden;</w:t>
      </w:r>
    </w:p>
    <w:p>
      <w:pPr>
        <w:ind w:left="420"/>
      </w:pPr>
      <w:r>
        <w:t xml:space="preserve">7. hat dafür zu sorgen, dass die Anzahl der Versandstücke nach Abschnitt 3.5.5 ADR/RID/ADN nicht überschritten wird, und</w:t>
      </w:r>
    </w:p>
    <w:p>
      <w:pPr>
        <w:ind w:left="420"/>
      </w:pPr>
      <w:r>
        <w:t xml:space="preserve">8. hat dafür zu sorgen, dass bei Verwendung von unverpacktem Trockeneis die Maßnahmen nach Unterabschnitt 5.5.3.5 ADR/RID/ADN ergriffen werden.</w:t>
      </w:r>
    </w:p>
    <w:p>
      <w:r>
        <w:t xml:space="preserve">(2) Der Verlader im Straßenverkehr hat</w:t>
      </w:r>
    </w:p>
    <w:p>
      <w:pPr>
        <w:ind w:left="420"/>
      </w:pPr>
      <w:r>
        <w:t xml:space="preserve">1. den Fahrzeugführer auf das gefährliche Gut mit den Angaben nach Absatz 5.4.1.1.1 Buchstabe a bis d ADR sowie, wenn Güter auf der Straße befördert werden, die § 35 Absatz 4 Satz 1 oder § 35a Absatz 1 oder Absatz 4 Satz 1 unterliegen, auf deren Beachtung schriftlich oder elektronisch hinzuweisen;</w:t>
      </w:r>
    </w:p>
    <w:p>
      <w:pPr>
        <w:ind w:left="420"/>
      </w:pPr>
      <w:r>
        <w:t xml:space="preserve">2. dafür zu sorgen, dass die Vorschriften über die Trägerfahrzeuge von Tankcontainern, ortsbeweglichen Tanks und MEGC nach Abschnitt 7.4.1 ADR eingehalten werden;</w:t>
      </w:r>
    </w:p>
    <w:p>
      <w:pPr>
        <w:ind w:left="420"/>
      </w:pPr>
      <w:r>
        <w:t xml:space="preserve">3. dafür zu sorgen, dass die Vorschriften über die Gefahrzettel und Kennzeichen nach Unterabschnitt 5.1.3.1 in Verbindung mit Kapitel 5.2 ADR beachtet werden;</w:t>
      </w:r>
    </w:p>
    <w:p>
      <w:pPr>
        <w:ind w:left="420"/>
      </w:pPr>
      <w:r>
        <w:t xml:space="preserve">4. dafür zu sorgen, dass an Containern mit Versandstücken Großzettel (Placards) nach Unterabschnitt 5.3.1.2, die orangefarbenen Tafeln nach Absatz 5.3.2.1.4 und das Kennzeichen nach Abschnitt 5.3.6 ADR angebracht sind;</w:t>
      </w:r>
    </w:p>
    <w:p>
      <w:pPr>
        <w:ind w:left="420"/>
      </w:pPr>
      <w:r>
        <w:t xml:space="preserve">5. dafür zu sorgen, dass nur Container eingesetzt werden, die den technischen Anforderungen nach Abschnitt 7.1.3 ADR entsprechen, und</w:t>
      </w:r>
    </w:p>
    <w:p>
      <w:pPr>
        <w:ind w:left="420"/>
      </w:pPr>
      <w:r>
        <w:t xml:space="preserve">6. dafür zu sorgen, dass bei Tankcontainern und MEGC die Vorschriften nach Absatz 4.3.2.3.2 und bei ortsbeweglichen Tanks nach Unterabschnitt 4.2.1.2, 4.2.2.3 und 4.2.3.3 und bei UN-MEGC nach Unterabschnitt 4.2.4.3 ADR beachtet werden.</w:t>
      </w:r>
    </w:p>
    <w:p>
      <w:r>
        <w:t xml:space="preserve">(3) Der Verlader im Eisenbahnverkehr hat</w:t>
      </w:r>
    </w:p>
    <w:p>
      <w:pPr>
        <w:ind w:left="420"/>
      </w:pPr>
      <w:r>
        <w:t xml:space="preserve">1. dafür zu sorgen, dass die Vorschriften über die Gefahrzettel und Kennzeichen nach Unterabschnitt 5.1.3.1 in Verbindung mit Kapitel 5.2 RID beachtet werden;</w:t>
      </w:r>
    </w:p>
    <w:p>
      <w:pPr>
        <w:ind w:left="420"/>
      </w:pPr>
      <w:r>
        <w:t xml:space="preserve">2. dafür zu sorgen, dass</w:t>
      </w:r>
    </w:p>
    <w:p>
      <w:pPr>
        <w:ind w:left="780"/>
      </w:pPr>
      <w:r>
        <w:t xml:space="preserve">a) an Großcontainern und Wagen mit Versandstücken, an Schüttgut-Containern sowie an Tragwagen Großzettel (Placards) nach den Unterabschnitten 5.3.1.2, 5.3.1.3 und 5.3.1.5 sowie im Huckepackverkehr nach Absatz 1.1.4.4.4, Rangierzettel nach Abschnitt 5.3.4 sowie das Kennzeichen nach Abschnitt 5.3.6 RID,</w:t>
      </w:r>
    </w:p>
    <w:p>
      <w:pPr>
        <w:ind w:left="780"/>
      </w:pPr>
      <w:r>
        <w:t xml:space="preserve">b) an einem Wagen oder Container orangefarbene Tafeln nach Absatz 5.3.2.1.1 Satz 1 neunter Anstrich und Absatz 5.3.2.1.2 RID und</w:t>
      </w:r>
    </w:p>
    <w:p>
      <w:pPr>
        <w:ind w:left="780"/>
      </w:pPr>
      <w:r>
        <w:t xml:space="preserve">c) orangefarbene Tafeln an Tragwagen nach Absatz 5.3.2.1.5 sowie im Huckepackverkehr die Kennzeichen oder orangefarbenen Tafeln nach Absatz 1.1.4.4.4 RID</w:t>
      </w:r>
    </w:p>
    <w:p>
      <w:pPr>
        <w:ind w:left="420"/>
      </w:pPr>
      <w:r>
        <w:t xml:space="preserve">angebracht sind;</w:t>
      </w:r>
    </w:p>
    <w:p>
      <w:pPr>
        <w:ind w:left="420"/>
      </w:pPr>
      <w:r>
        <w:t xml:space="preserve">3. dafür zu sorgen, dass nur Container eingesetzt werden, die den technischen Anforderungen nach Abschnitt 7.1.3 RID entsprechen;</w:t>
      </w:r>
    </w:p>
    <w:p>
      <w:pPr>
        <w:ind w:left="420"/>
      </w:pPr>
      <w:r>
        <w:t xml:space="preserve">4. dafür zu sorgen, dass beim Verladen gefährlicher Güter in oder auf Wagen oder in Container oder beim Verladen von Containern, Schüttgut-Containern, MEGC, Tankcontainern oder ortsbeweglichen Tanks auf einen Wagen die Vorschriften über</w:t>
      </w:r>
    </w:p>
    <w:p>
      <w:pPr>
        <w:ind w:left="780"/>
      </w:pPr>
      <w:r>
        <w:t xml:space="preserve">a) die Beförderung in Versandstücken nach Kapitel 7.2 RID und</w:t>
      </w:r>
    </w:p>
    <w:p>
      <w:pPr>
        <w:ind w:left="780"/>
      </w:pPr>
      <w:r>
        <w:t xml:space="preserve">b) die Beladung und Handhabung nach Kapitel 7.5 RID</w:t>
      </w:r>
    </w:p>
    <w:p>
      <w:pPr>
        <w:ind w:left="420"/>
      </w:pPr>
      <w:r>
        <w:t xml:space="preserve">beachtet werden, und</w:t>
      </w:r>
    </w:p>
    <w:p>
      <w:pPr>
        <w:ind w:left="420"/>
      </w:pPr>
      <w:r>
        <w:t xml:space="preserve">5. dafür zu sorgen, dass bei Tankcontainern und MEGC die Vorschriften nach Absatz 4.3.2.3.2 und bei ortsbeweglichen Tanks nach Unterabschnitt 4.2.1.2, 4.2.2.3 und 4.2.3.3 und bei UN-MEGC nach Unterabschnitt 4.2.4.3 RID beachtet werden.</w:t>
      </w:r>
    </w:p>
    <w:p>
      <w:r>
        <w:t xml:space="preserve">(4) Der Verlader in der Binnenschifffahrt hat</w:t>
      </w:r>
    </w:p>
    <w:p>
      <w:pPr>
        <w:ind w:left="420"/>
      </w:pPr>
      <w:r>
        <w:t xml:space="preserve">1. den Schiffsführer auf das gefährliche Gut durch die Angaben nach Absatz 5.4.1.1.1 Buchstabe a bis d ADN hinzuweisen;</w:t>
      </w:r>
    </w:p>
    <w:p>
      <w:pPr>
        <w:ind w:left="420"/>
      </w:pPr>
      <w:r>
        <w:t xml:space="preserve">2. dafür zu sorgen, dass</w:t>
      </w:r>
    </w:p>
    <w:p>
      <w:pPr>
        <w:ind w:left="780"/>
      </w:pPr>
      <w:r>
        <w:t xml:space="preserve">a) an Containern, MEGC, Schüttgut-Containern, Tankcontainern und ortsbeweglichen Tanks Großzettel (Placards) nach Unterabschnitt 5.3.1.2 sowie das Kennzeichen nach Abschnitt 5.3.6 ADN,</w:t>
      </w:r>
    </w:p>
    <w:p>
      <w:pPr>
        <w:ind w:left="780"/>
      </w:pPr>
      <w:r>
        <w:t xml:space="preserve">b) an Trägerfahrzeugen, auf denen Container, MEGC, Schüttgut-Container, Tankcontainer oder ortsbewegliche Tanks befördert werden, Großzettel (Placards) nach Unterabschnitt 5.3.1.3 Satz 1 ADN,</w:t>
      </w:r>
    </w:p>
    <w:p>
      <w:pPr>
        <w:ind w:left="780"/>
      </w:pPr>
      <w:r>
        <w:t xml:space="preserve">c) an Fahrzeugen für die Beförderung in loser Schüttung, Tankfahrzeugen, Batterie-Fahrzeugen und Fahrzeugen mit Aufsetztanks Großzettel (Placards) nach Unterabschnitt 5.3.1.4 ADN,</w:t>
      </w:r>
    </w:p>
    <w:p>
      <w:pPr>
        <w:ind w:left="780"/>
      </w:pPr>
      <w:r>
        <w:t xml:space="preserve">d) an Fahrzeugen, in denen nur Versandstücke befördert werden, Großzettel (Placards) nach Unterabschnitt 5.3.1.5 ADN und</w:t>
      </w:r>
    </w:p>
    <w:p>
      <w:pPr>
        <w:ind w:left="780"/>
      </w:pPr>
      <w:r>
        <w:t xml:space="preserve">e) auch an ungereinigten und nicht entgasten leeren Tankfahrzeugen, Kesselwagen, Fahrzeugen mit Aufsetztanks, Wagen mit abnehmbaren Tanks, Batterie-Fahrzeugen, Batteriewagen, MEGC, MEMU, Tankcontainern und ortsbeweglichen Tanks sowie an ungereinigten leeren Fahrzeugen, Wagen und Containern für die Beförderung in loser Schüttung Großzettel (Placards) nach Absatz 5.3.1.6.1 ADN</w:t>
      </w:r>
    </w:p>
    <w:p>
      <w:pPr>
        <w:ind w:left="420"/>
      </w:pPr>
      <w:r>
        <w:t xml:space="preserve">angebracht sind;</w:t>
      </w:r>
    </w:p>
    <w:p>
      <w:pPr>
        <w:ind w:left="420"/>
      </w:pPr>
      <w:r>
        <w:t xml:space="preserve">3. dafür zu sorgen, dass die Vorschriften über das Laden, Befördern und die Handhabung nach Abschnitt 7.1.4 ADN beachtet werden, und</w:t>
      </w:r>
    </w:p>
    <w:p>
      <w:pPr>
        <w:ind w:left="420"/>
      </w:pPr>
      <w:r>
        <w:t xml:space="preserve">4. nach Absatz 1.4.3.1.1 Buchstabe f ADN sicherzustellen, dass beim Laden die landseitige Einrichtung mit einem oder zwei Evakuierungsmitteln ausgerüstet ist.</w:t>
      </w:r>
    </w:p>
    <w:p>
      <w:r>
        <w:rPr>
          <w:color w:val="555555"/>
          <w:sz w:val="17"/>
        </w:rPr>
        <w:t xml:space="preserve">Zitiervorschlag: § 21 GGVSEB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