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GGVSEB — Begriffsbestimmungen</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Absender ist das Unternehmen, das selbst oder für einen Dritten gefährliche Güter versendet. Erfolgt die Beförderung auf Grund eines Beförderungsvertrages, gilt als Absender der Absender nach diesem Vertrag. Bei Tankschiffen mit leeren oder entladenen Ladetanks ist hinsichtlich der erforderlichen Beförderungspapiere der Schiffsführer der Absender.</w:t>
      </w:r>
    </w:p>
    <w:p>
      <w:r>
        <w:t xml:space="preserve">(2) Befüller ist das Unternehmen, das die gefährlichen Güter einfüllt in</w:t>
      </w:r>
    </w:p>
    <w:p>
      <w:pPr>
        <w:ind w:left="420"/>
      </w:pPr>
      <w:r>
        <w:t xml:space="preserve">1. ein Tankfahrzeug,</w:t>
      </w:r>
    </w:p>
    <w:p>
      <w:pPr>
        <w:ind w:left="420"/>
      </w:pPr>
      <w:r>
        <w:t xml:space="preserve">2. einen Aufsetztank,</w:t>
      </w:r>
    </w:p>
    <w:p>
      <w:pPr>
        <w:ind w:left="420"/>
      </w:pPr>
      <w:r>
        <w:t xml:space="preserve">3. einen Kesselwagen,</w:t>
      </w:r>
    </w:p>
    <w:p>
      <w:pPr>
        <w:ind w:left="420"/>
      </w:pPr>
      <w:r>
        <w:t xml:space="preserve">4. einen Wagen mit abnehmbaren Tanks,</w:t>
      </w:r>
    </w:p>
    <w:p>
      <w:pPr>
        <w:ind w:left="420"/>
      </w:pPr>
      <w:r>
        <w:t xml:space="preserve">5. einen ortsbeweglichen Tank,</w:t>
      </w:r>
    </w:p>
    <w:p>
      <w:pPr>
        <w:ind w:left="420"/>
      </w:pPr>
      <w:r>
        <w:t xml:space="preserve">6. einen Tankcontainer,</w:t>
      </w:r>
    </w:p>
    <w:p>
      <w:pPr>
        <w:ind w:left="420"/>
      </w:pPr>
      <w:r>
        <w:t xml:space="preserve">7. einen MEGC,</w:t>
      </w:r>
    </w:p>
    <w:p>
      <w:pPr>
        <w:ind w:left="420"/>
      </w:pPr>
      <w:r>
        <w:t xml:space="preserve">8. Groß- oder Kleincontainer für die Beförderung in loser Schüttung,</w:t>
      </w:r>
    </w:p>
    <w:p>
      <w:pPr>
        <w:ind w:left="420"/>
      </w:pPr>
      <w:r>
        <w:t xml:space="preserve">9. einen Schüttgut-Container,</w:t>
      </w:r>
    </w:p>
    <w:p>
      <w:pPr>
        <w:ind w:left="420"/>
      </w:pPr>
      <w:r>
        <w:t xml:space="preserve">10. ein Fahrzeug für die Beförderung in loser Schüttung,</w:t>
      </w:r>
    </w:p>
    <w:p>
      <w:pPr>
        <w:ind w:left="420"/>
      </w:pPr>
      <w:r>
        <w:t xml:space="preserve">11. ein Batterie-Fahrzeug,</w:t>
      </w:r>
    </w:p>
    <w:p>
      <w:pPr>
        <w:ind w:left="420"/>
      </w:pPr>
      <w:r>
        <w:t xml:space="preserve">12. ein MEMU,</w:t>
      </w:r>
    </w:p>
    <w:p>
      <w:pPr>
        <w:ind w:left="420"/>
      </w:pPr>
      <w:r>
        <w:t xml:space="preserve">13. einen Wagen für die Beförderung in loser Schüttung,</w:t>
      </w:r>
    </w:p>
    <w:p>
      <w:pPr>
        <w:ind w:left="420"/>
      </w:pPr>
      <w:r>
        <w:t xml:space="preserve">14. einen Batteriewagen,</w:t>
      </w:r>
    </w:p>
    <w:p>
      <w:pPr>
        <w:ind w:left="420"/>
      </w:pPr>
      <w:r>
        <w:t xml:space="preserve">15. ein Schiff oder</w:t>
      </w:r>
    </w:p>
    <w:p>
      <w:pPr>
        <w:ind w:left="420"/>
      </w:pPr>
      <w:r>
        <w:t xml:space="preserve">16. einen Ladetank.</w:t>
      </w:r>
    </w:p>
    <w:p>
      <w:r>
        <w:t xml:space="preserve">Befüller ist auch das Unternehmen, das als unmittelbarer Besitzer das gefährliche Gut dem Beförderer zur Beförderung übergibt oder selbst befördert.</w:t>
      </w:r>
    </w:p>
    <w:p>
      <w:r>
        <w:t xml:space="preserve">(3) Verlader ist das Unternehmen, das</w:t>
      </w:r>
    </w:p>
    <w:p>
      <w:pPr>
        <w:ind w:left="420"/>
      </w:pPr>
      <w:r>
        <w:t xml:space="preserve">1. verpackte gefährliche Güter in oder auf ein Fahrzeug gemäß Abschnitt 1.2.1 ADR, einen Wagen gemäß Abschnitt 1.2.1 RID, ein Beförderungsmittel gemäß Abschnitt 1.2.1 ADN oder einen Container verlädt oder</w:t>
      </w:r>
    </w:p>
    <w:p>
      <w:pPr>
        <w:ind w:left="420"/>
      </w:pPr>
      <w:r>
        <w:t xml:space="preserve">2. einen Container, Schüttgut-Container, MEGC, Tankcontainer oder ortsbeweglichen Tank in oder auf ein Fahrzeug gemäß Abschnitt 1.2.1 ADR, einen Wagen gemäß Abschnitt 1.2.1 RID, ein Beförderungsmittel gemäß Abschnitt 1.2.1 ADN oder einen Container verlädt oder</w:t>
      </w:r>
    </w:p>
    <w:p>
      <w:pPr>
        <w:ind w:left="420"/>
      </w:pPr>
      <w:r>
        <w:t xml:space="preserve">3. ein Fahrzeug oder einen Wagen in oder auf ein Schiff gemäß Abschnitt 1.2.1 ADN verlädt.</w:t>
      </w:r>
    </w:p>
    <w:p>
      <w:r>
        <w:t xml:space="preserve">Verlader ist auch das Unternehmen, das als unmittelbarer Besitzer das gefährliche Gut dem Beförderer zur Beförderung übergibt oder selbst befördert. Kein Verlader nach Satz 2 ist das Unternehmen, das Verladevorgänge von ausschließlich gefährlichen Gütern durchführt, die von den Vorschriften des ADR/RID/ADN freigestellt sind, ausgenommen</w:t>
      </w:r>
    </w:p>
    <w:p>
      <w:pPr>
        <w:ind w:left="420"/>
      </w:pPr>
      <w:r>
        <w:t xml:space="preserve">1. solche gemäß Unterabschnitt 1.1.3.6 ADR/ADN und</w:t>
      </w:r>
    </w:p>
    <w:p>
      <w:pPr>
        <w:ind w:left="420"/>
      </w:pPr>
      <w:r>
        <w:t xml:space="preserve">2. von in begrenzten Mengen verpackten gefährlichen Gütern nach Kapitel 3.4 ADR/RID/ADN, wenn die Bruttogesamtmasse dieser Versandstücke 100 Kilogramm überschreitet.</w:t>
      </w:r>
    </w:p>
    <w:p>
      <w:r>
        <w:t xml:space="preserve">(4) Verpacker ist das Unternehmen, das die gefährlichen Güter in Verpackungen einschließlich Großverpackungen und IBC einfüllt oder die Versandstücke zur Beförderung vorbereitet. Verpacker ist auch das Unternehmen, das gefährliche Güter verpacken lässt oder das Versandstücke oder deren Kennzeichnung oder Bezettelung ändert oder ändern lässt.</w:t>
      </w:r>
    </w:p>
    <w:p>
      <w:r>
        <w:t xml:space="preserve">(5) Versandstück ist das versandfertige Endprodukt des Verpackungsvorganges, bestehend aus der Verpackung, der Großverpackung oder dem IBC und ihrem beziehungsweise seinem Inhalt. Der Begriff umfasst die Gefäße für Gase sowie die Gegenstände, die wegen ihrer Größe, Masse oder Formgebung unverpackt, oder in Schlitten, Verschlägen oder Handhabungseinrichtungen befördert werden dürfen. Mit Ausnahme der Beförderung radioaktiver Stoffe gilt dieser Begriff weder für Güter, die in loser Schüttung, noch für Güter, die in Tanks oder Ladetanks befördert werden. An Bord von Schiffen schließt der Begriff Versandstück auch die Fahrzeuge, Wagen, Container einschließlich Wechselaufbauten, Tankcontainer, ortsbewegliche Tanks, Großverpackungen, IBC, Batterie-Fahrzeuge, Batteriewagen, Tankfahrzeuge, Kesselwagen MEGC ein.</w:t>
      </w:r>
    </w:p>
    <w:p>
      <w:r>
        <w:t xml:space="preserve">(6) Fahrzeuge sind im innerstaatlichen Verkehr und innergemeinschaftlichen Verkehr – abweichend von der Begriffsbestimmung im ADR – die in Abschnitt 1.2.1 ADR beschriebenen Fahrzeuge mit einer bauartbedingten Höchstgeschwindigkeit von mehr als 25 Kilometer pro Stunde, einschließlich zwei- und dreirädrige Fahrzeuge sowie selbstfahrende Land-, Forst-, Bau- und sonstige Arbeitsmaschinen sowie ihre Anhänger, und Güterstraßenbahnen, die auf einem vom Eisenbahnnetz getrennten Schienennetz verkehren.</w:t>
      </w:r>
    </w:p>
    <w:p>
      <w:r>
        <w:t xml:space="preserve">(7) Gefährliche Güter sind die Stoffe und Gegenstände, deren Beförderung nach Teil 2, Kapitel 3.2 Tabelle A und Kapitel 3.3 ADR/RID/ADN verboten oder nach den vorgesehenen Bedingungen des ADR/RID/ADN gestattet ist.</w:t>
      </w:r>
    </w:p>
    <w:p>
      <w:r>
        <w:t xml:space="preserve">(8) Wiederaufarbeiter ist das Unternehmen, das wiederaufgearbeitete Verpackungen, wiederaufgearbeitete Großverpackungen und wiederaufgearbeitete IBC im Sinne des Abschnitts 1.2.1 ADR/RID herstellt.</w:t>
      </w:r>
    </w:p>
    <w:p>
      <w:r>
        <w:t xml:space="preserve">(9) Rekonditionierer ist das Unternehmen, das rekonditionierte Verpackungen im Sinne des Abschnitts 1.2.1 ADR/RID herstellt.</w:t>
      </w:r>
    </w:p>
    <w:p>
      <w:r>
        <w:t xml:space="preserve">(10) Auftraggeber des Absenders ist das Unternehmen, das einen Absender beauftragt, als solcher aufzutreten und Gefahrgut selbst oder durch einen Dritten zu versenden.</w:t>
      </w:r>
    </w:p>
    <w:p>
      <w:r>
        <w:t xml:space="preserve">(11) IBC (Intermediate Bulk Container) ist das in Abschnitt 1.2.1 ADR/RID/ADN beschriebene Großpackmittel.</w:t>
      </w:r>
    </w:p>
    <w:p>
      <w:r>
        <w:t xml:space="preserve">(12) IMDG-Code (International Maritime Dangerous Goods Code) ist der Internationale Code für die Beförderung gefährlicher Güter mit Seeschiffen, der zuletzt durch die Entschließung MSC.556(108) geändert worden ist, in der amtlichen deutschen Übersetzung bekannt gegeben am 12. November 2024 (VkBl. S. 764).</w:t>
      </w:r>
    </w:p>
    <w:p>
      <w:r>
        <w:t xml:space="preserve">(13) MEGC (Multiple-Element Gas Container) ist der in Abschnitt 1.2.1 ADR/RID/ADN beschriebene Gascontainer mit mehreren Elementen. Der Begriff MEGC umfasst auch UN-MEGC.</w:t>
      </w:r>
    </w:p>
    <w:p>
      <w:r>
        <w:t xml:space="preserve">(14) MEMU (Mobile Einheit zur Herstellung von explosiven Stoffen oder Gegenständen mit Explosivstoff) ist die in Abschnitt 1.2.1 ADR beschriebene Einheit oder ein Fahrzeug.</w:t>
      </w:r>
    </w:p>
    <w:p>
      <w:r>
        <w:t xml:space="preserve">(15) Ortsbewegliche-Druckgeräte-Verordnung ist die Ortsbewegliche-Druckgeräte-Verordnung vom 29. November 2011 (BGBl. I S. 2349), die zuletzt durch Artikel 1 der Verordnung vom 17. Dezember 2024 (BGBl. 2024 I Nr. 422) geändert worden ist.</w:t>
      </w:r>
    </w:p>
    <w:p>
      <w:r>
        <w:t xml:space="preserve">(16) OTIF (Organisation Intergouvernementale pour les transports internationaux ferroviaires) ist die Zwischenstaatliche Organisation für den internationalen Eisenbahnverkehr.</w:t>
      </w:r>
    </w:p>
    <w:p>
      <w:r>
        <w:t xml:space="preserve">(17) UNECE (United Nations Economic Commission for Europe) ist die Wirtschaftskommission der Vereinten Nationen für Europa.</w:t>
      </w:r>
    </w:p>
    <w:p>
      <w:r>
        <w:t xml:space="preserve">(18) GGVSee ist die Gefahrgutverordnung See in der Fassung der Bekanntmachung vom 21. Oktober 2019 (BGBl. I S. 1475), die zuletzt durch Artikel 16 des Gesetzes vom 12. Dezember 2019 (BGBl. I S. 2510) geändert worden ist.</w:t>
      </w:r>
    </w:p>
    <w:p>
      <w:r>
        <w:t xml:space="preserve">(19) Ortsbewegliche Druckgeräte sind die in Artikel 2 Nummer 1 der Richtlinie 2010/35/EU bestimmten Gefäße und Tanks für Gase sowie die übrigen in den Kapiteln 6.2 und 6.8 ADR/RID bestimmten Gefäße und Tanks für Gase.</w:t>
      </w:r>
    </w:p>
    <w:p>
      <w:r>
        <w:t xml:space="preserve">(20) Bundeswasserstraßen sind die Wasserstraßen nach § 1 Absatz 1 und 6 des Bundeswasserstraßengesetzes in der Fassung der Bekanntmachung vom 23. Mai 2007 (BGBl. I S. 962; 2008 I S. 1980) in der jeweils geltenden Fassung mit Ausnahme der Elbe im Hamburger Hafen.</w:t>
      </w:r>
    </w:p>
    <w:p>
      <w:r>
        <w:rPr>
          <w:color w:val="555555"/>
          <w:sz w:val="17"/>
        </w:rPr>
        <w:t xml:space="preserve">Zitiervorschlag: § 2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