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GGVSEB — Pflichten des Beförderers</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Der Beförderer im Straßen- und Eisenbahnverkehr sowie in der Binnenschifffahrt</w:t>
      </w:r>
    </w:p>
    <w:p>
      <w:pPr>
        <w:ind w:left="420"/>
      </w:pPr>
      <w:r>
        <w:t xml:space="preserve">1. muss den Absender nach Unterabschnitt 1.7.6.1 Buchstabe a Gliederungseinheit i ADR/RID/ADN über die Nichteinhaltung eines Grenzwertes für die Dosisleistung oder die Kontamination informieren;</w:t>
      </w:r>
    </w:p>
    <w:p>
      <w:pPr>
        <w:ind w:left="420"/>
      </w:pPr>
      <w:r>
        <w:t xml:space="preserve">2. darf, wenn er einen Verstoß gegen die in Absatz 1 Nummer 1 und 5 und Absatz 2 bis 4 genannten Vorschriften des ADR/RID/ADN feststellt, die Sendung so lange nicht befördern, bis die Vorschriften erfüllt sind;</w:t>
      </w:r>
    </w:p>
    <w:p>
      <w:pPr>
        <w:ind w:left="420"/>
      </w:pPr>
      <w:r>
        <w:t xml:space="preserve">3. hat dafür zu sorgen, dass Tanks nach Unterabschnitt 4.3.3.6 Buchstabe f und h ADR/RID nicht zur Beförderung aufgegeben werden;</w:t>
      </w:r>
    </w:p>
    <w:p>
      <w:pPr>
        <w:ind w:left="420"/>
      </w:pPr>
      <w:r>
        <w:t xml:space="preserve">4. hat eine Kopie des Beförderungspapiers für gefährliche Güter und der im ADR/RID/ADN festgelegten zusätzlichen Informationen und Dokumentation für einen Mindestzeitraum von drei Monaten ab Ende der Beförderung nach Unterabschnitt 5.4.4.1 ADR/RID/ADN aufzubewahren;</w:t>
      </w:r>
    </w:p>
    <w:p>
      <w:pPr>
        <w:ind w:left="420"/>
      </w:pPr>
      <w:r>
        <w:t xml:space="preserve">5. hat dafür zu sorgen, dass die Dokumente im Zusammenhang mit der Beförderung von Güterbeförderungseinheiten, die begast und vor der Beförderung nicht vollständig belüftet worden sind, die Angaben nach Absatz 5.5.2.4.1 ADR/RID/ADN enthalten, und</w:t>
      </w:r>
    </w:p>
    <w:p>
      <w:pPr>
        <w:ind w:left="420"/>
      </w:pPr>
      <w:r>
        <w:t xml:space="preserve">6. hat dafür zu sorgen, dass die Dokumente im Zusammenhang mit der Beförderung von Fahrzeugen, Wagen oder Containern, die Trockeneis (UN 1845) oder zu Kühl- oder Konditionierungszwecken verwendete Stoffe enthalten oder enthalten haben und vor der Beförderung nicht vollständig belüftet wurden, die Angaben nach Absatz 5.5.3.7.1 ADR/RID/ADN enthalten.</w:t>
      </w:r>
    </w:p>
    <w:p>
      <w:r>
        <w:t xml:space="preserve">(2) Der Beförderer im Straßenverkehr hat</w:t>
      </w:r>
    </w:p>
    <w:p>
      <w:pPr>
        <w:ind w:left="420"/>
      </w:pPr>
      <w:r>
        <w:t xml:space="preserve">1. das Verbot der anderweitigen Verwendung nach Abschnitt 4.3.5 Sondervorschrift TU 15 ADR einzuhalten;</w:t>
      </w:r>
    </w:p>
    <w:p>
      <w:pPr>
        <w:ind w:left="420"/>
      </w:pPr>
      <w:r>
        <w:t xml:space="preserve">2. der Fahrzeugbesatzung vor Antritt der Fahrt die schriftlichen Weisungen nach Unterabschnitt 5.4.3.2 ADR zu übergeben und dafür zu sorgen, dass jedes Mitglied der Fahrzeugbesatzung diese verstehen und richtig anwenden kann;</w:t>
      </w:r>
    </w:p>
    <w:p>
      <w:pPr>
        <w:ind w:left="420"/>
      </w:pPr>
      <w:r>
        <w:t xml:space="preserve">3. dafür zu sorgen, dass die Vorschriften für die Beförderung in loser Schüttung in Fahrzeugen oder Containern nach den anwendbaren Vorschriften in den Kapiteln 3.3 und 7.3 und die Vorschriften für die Beförderung in Tanks nach Abschnitt 7.4.1 ADR beachtet werden;</w:t>
      </w:r>
    </w:p>
    <w:p>
      <w:pPr>
        <w:ind w:left="420"/>
      </w:pPr>
      <w:r>
        <w:t xml:space="preserve">4. dafür zu sorgen, dass die Vorschriften über die Begrenzung der beförderten Mengen nach Absatz 7.5.5.2.1 und Unterabschnitt 7.5.5.3 ADR eingehalten werden;</w:t>
      </w:r>
    </w:p>
    <w:p>
      <w:pPr>
        <w:ind w:left="420"/>
      </w:pPr>
      <w:r>
        <w:t xml:space="preserve">5. dafür zu sorgen, dass</w:t>
      </w:r>
    </w:p>
    <w:p>
      <w:pPr>
        <w:ind w:left="780"/>
      </w:pPr>
      <w:r>
        <w:t xml:space="preserve">a) die Begleitpapiere nach Unterabschnitt 8.1.2.1 Buchstabe a und Unterabschnitt 8.1.2.2 Buchstabe a und c sowie bei innerstaatlichen Beförderungen in Aufsetztanks die Bescheinigung über die Prüfung des Aufsetztanks nach Absatz 6.8.2.4.5 und Unterabschnitt 6.13.5.4, sofern die Übergangsvorschrift nach Unterabschnitt 1.6.3.41 ADR in Anspruch genommen wird, und</w:t>
      </w:r>
    </w:p>
    <w:p>
      <w:pPr>
        <w:ind w:left="780"/>
      </w:pPr>
      <w:r>
        <w:t xml:space="preserve">b) die Ausnahmezulassung nach § 5 Absatz 1 Nummer 1, Absatz 6 oder 7</w:t>
      </w:r>
    </w:p>
    <w:p>
      <w:pPr>
        <w:ind w:left="420"/>
      </w:pPr>
      <w:r>
        <w:t xml:space="preserve">dem Fahrzeugführer vor Beförderungsbeginn übergeben werden;</w:t>
      </w:r>
    </w:p>
    <w:p>
      <w:pPr>
        <w:ind w:left="420"/>
      </w:pPr>
      <w:r>
        <w:t xml:space="preserve">6. dafür zu sorgen, dass nur Fahrzeugführer mit einer gültigen Bescheinigung nach Unterabschnitt 8.2.2.8 ADR eingesetzt werden;</w:t>
      </w:r>
    </w:p>
    <w:p>
      <w:pPr>
        <w:ind w:left="420"/>
      </w:pPr>
      <w:r>
        <w:t xml:space="preserve">7. dafür zu sorgen, dass ortsbewegliche Tanks nach Unterabschnitt 4.2.3.8 Buchstabe f ADR nicht zur Beförderung aufgegeben werden;</w:t>
      </w:r>
    </w:p>
    <w:p>
      <w:pPr>
        <w:ind w:left="420"/>
      </w:pPr>
      <w:r>
        <w:t xml:space="preserve">8. dafür zu sorgen, dass für festverbundene Tanks, Aufsetztanks und Batterie-Fahrzeuge die Tankakte nach Absatz 4.3.2.1.7 ADR geführt, aufbewahrt, an einen neuen Beförderer übergeben, auf Anforderung zuständigen Behörden vorgelegt und dem Sachverständigen zur Verfügung gestellt wird;</w:t>
      </w:r>
    </w:p>
    <w:p>
      <w:pPr>
        <w:ind w:left="420"/>
      </w:pPr>
      <w:r>
        <w:t xml:space="preserve">9. die Beförderungseinheit mit Feuerlöschgeräten nach Abschnitt 8.1.4 ADR auszurüsten;</w:t>
      </w:r>
    </w:p>
    <w:p>
      <w:pPr>
        <w:ind w:left="420"/>
      </w:pPr>
      <w:r>
        <w:t xml:space="preserve">10. die Prüffristen nach Unterabschnitt 8.1.4.4 ADR in Verbindung mit § 36 oder den zugelassenen nationalen Normen einzuhalten;</w:t>
      </w:r>
    </w:p>
    <w:p>
      <w:pPr>
        <w:ind w:left="420"/>
      </w:pPr>
      <w:r>
        <w:t xml:space="preserve">11. das Fahrzeug mit den erforderlichen Großzetteln (Placards) nach Abschnitt 5.3.1, den orangefarbenen Tafeln nach Abschnitt 5.3.2 und den Kennzeichen nach den Abschnitten 3.4.15, 5.3.3 und 5.3.6 auszurüsten und hat dafür zu sorgen, dass in den Fällen des Abschnitts 3.4.13 in Verbindung mit Abschnitt 3.4.14 die Kennzeichen nach Abschnitt 3.4.15 ADR angebracht werden;</w:t>
      </w:r>
    </w:p>
    <w:p>
      <w:pPr>
        <w:ind w:left="420"/>
      </w:pPr>
      <w:r>
        <w:t xml:space="preserve">12. dafür zu sorgen, dass nur Tanks verwendet werden, deren Dicke der Tankwände den in Absatz 4.3.2.3.1 in Verbindung mit den Absätzen 6.8.2.1.17 bis 6.8.2.1.21 ADR genannten Anforderungen entspricht;</w:t>
      </w:r>
    </w:p>
    <w:p>
      <w:pPr>
        <w:ind w:left="420"/>
      </w:pPr>
      <w:r>
        <w:t xml:space="preserve">13. dafür zu sorgen, dass der festverbundene Tank, der Aufsetztank, das Batterie-Fahrzeug und der Saug-Druck-Tank auch zwischen den Prüfterminen den Bau-, Ausrüstungs- und Kennzeichnungsvorschriften nach den Unterabschnitten 6.8.2.1, 6.8.2.2, 6.8.2.5, 6.8.3.1, 6.8.3.2 und 6.8.3.5 und den anwendbaren Sondervorschriften in Abschnitt 6.8.4 Buchstabe e, den Abschnitten 6.10.1, 6.10.2 und 6.10.3 für die in der ADR-Zulassungsbescheinigung nach Unterabschnitt 9.1.3.1 oder in der Bescheinigung nach den Absätzen 6.8.2.4.5 und 6.8.3.4.18 ADR angegebenen Stoffe entspricht, mit Ausnahme der durch den Befüller anzugebenden beförderten Stoffe und Gase;</w:t>
      </w:r>
    </w:p>
    <w:p>
      <w:pPr>
        <w:ind w:left="420"/>
      </w:pPr>
      <w:r>
        <w:t xml:space="preserve">14. dafür zu sorgen, dass nach Maßgabe der Absätze 6.8.2.4.4 und 6.8.3.4.16 ADR eine außerordentliche Prüfung des festverbundenen Tanks und des Batterie-Fahrzeugs durchgeführt wird, wenn die Sicherheit des Tanks oder seiner Ausrüstung beeinträchtigt sein kann;</w:t>
      </w:r>
    </w:p>
    <w:p>
      <w:pPr>
        <w:ind w:left="420"/>
      </w:pPr>
      <w:r>
        <w:t xml:space="preserve">15. dem Fahrzeugführer die erforderliche Ausrüstung zur Durchführung der Ladungssicherung zu übergeben;</w:t>
      </w:r>
    </w:p>
    <w:p>
      <w:pPr>
        <w:ind w:left="420"/>
      </w:pPr>
      <w:r>
        <w:t xml:space="preserve">16. die Beförderungseinheit nach Abschnitt 8.1.5 ADR auszurüsten;</w:t>
      </w:r>
    </w:p>
    <w:p>
      <w:pPr>
        <w:ind w:left="420"/>
      </w:pPr>
      <w:r>
        <w:t xml:space="preserve">17. dafür zu sorgen, dass an Fahrzeugen,</w:t>
      </w:r>
    </w:p>
    <w:p>
      <w:pPr>
        <w:ind w:left="780"/>
      </w:pPr>
      <w:r>
        <w:t xml:space="preserve">a) die nach Unterabschnitt 9.1.2.1 Satz 4 zugelassen sind, für die in der ADR-Zulassungsbescheinigung nach Unterabschnitt 9.1.3.5 unter Nummer 10 angegebenen gefährlichen Güter die Vorschriften über den Bau und die Ausrüstung der Fahrzeuge nach Abschnitt 9.2.1 ADR in Verbindung mit den ergänzenden Vorschriften nach den Kapiteln 9.3 bis 9.8 ADR und</w:t>
      </w:r>
    </w:p>
    <w:p>
      <w:pPr>
        <w:ind w:left="780"/>
      </w:pPr>
      <w:r>
        <w:t xml:space="preserve">b) die nach Unterabschnitt 9.1.2.1 Satz 4 nicht zulassungspflichtig sind, die Vorschriften über den Bau und die Ausrüstung der Fahrzeuge nach den anwendbaren Sondervorschriften in Abschnitt 7.3.3, Unterabschnitt 9.2.1.1 Satz 2 und den Kapiteln 9.4 bis 9.6 ADR</w:t>
      </w:r>
    </w:p>
    <w:p>
      <w:pPr>
        <w:ind w:left="420"/>
      </w:pPr>
      <w:r>
        <w:t xml:space="preserve">beachtet werden;</w:t>
      </w:r>
    </w:p>
    <w:p>
      <w:pPr>
        <w:ind w:left="420"/>
      </w:pPr>
      <w:r>
        <w:t xml:space="preserve">18. dafür zu sorgen, dass die Vorschriften über die Überwachung der Fahrzeuge nach Kapitel 8.4 in Verbindung mit Kapitel 8.5 ADR sowie bei innerstaatlichen Beförderungen auch die Vorschrift über das Abstellen von kennzeichnungspflichtigen Fahrzeugen nach Anlage 2 Gliederungsnummer 3.3 beachtet werden, und</w:t>
      </w:r>
    </w:p>
    <w:p>
      <w:pPr>
        <w:ind w:left="420"/>
      </w:pPr>
      <w:r>
        <w:t xml:space="preserve">19. dafür zu sorgen, dass festverbundene Tanks, Batterie-Fahrzeuge, Aufsetztanks, MEGC, ortsbewegliche Tanks und Tankcontainer nicht verwendet werden, wenn das Datum der nächsten Prüfung überschritten ist.</w:t>
      </w:r>
    </w:p>
    <w:p>
      <w:r>
        <w:t xml:space="preserve">(3) Der Beförderer im Eisenbahnverkehr</w:t>
      </w:r>
    </w:p>
    <w:p>
      <w:pPr>
        <w:ind w:left="420"/>
      </w:pPr>
      <w:r>
        <w:t xml:space="preserve">1. muss sicherstellen, dass der Betreiber der von ihm genutzten Eisenbahninfrastruktur zu jedem Zeitpunkt während der Beförderung schnell und uneingeschränkt über die Daten verfügen kann, die es ihm ermöglichen, die Anforderungen des Unterabschnitts 1.4.3.6 Buchstabe b RID zu erfüllen;</w:t>
      </w:r>
    </w:p>
    <w:p>
      <w:pPr>
        <w:ind w:left="420"/>
      </w:pPr>
      <w:r>
        <w:t xml:space="preserve">2. hat dafür zu sorgen, dass nach Unterabschnitt 1.10.1.4 RID jedes Mitglied der Besatzung eines Zuges, mit dem gefährliche Güter befördert werden, einen Lichtbildausweis während der Beförderung mit sich führt;</w:t>
      </w:r>
    </w:p>
    <w:p>
      <w:pPr>
        <w:ind w:left="420"/>
      </w:pPr>
      <w:r>
        <w:t xml:space="preserve">3. hat dafür zu sorgen, dass die in § 18 Absatz 1 Nummer 8 und 10 genannten Begleitpapiere während der Beförderung verfügbar sind und zuständigen Personen auf Verlangen zur Prüfung ausgehändigt werden;</w:t>
      </w:r>
    </w:p>
    <w:p>
      <w:pPr>
        <w:ind w:left="420"/>
      </w:pPr>
      <w:r>
        <w:t xml:space="preserve">4. hat dafür zu sorgen, dass die Vorschriften über den Schutzabstand nach Abschnitt 7.5.3 RID beachtet werden;</w:t>
      </w:r>
    </w:p>
    <w:p>
      <w:pPr>
        <w:ind w:left="420"/>
      </w:pPr>
      <w:r>
        <w:t xml:space="preserve">5. hat nach Unterabschnitt 5.4.3.2 RID vor Antritt der Fahrt dem Triebfahrzeugführer die schriftlichen Weisungen in einer Sprache bereitzustellen, die der Triebfahrzeugführer lesen und verstehen kann;</w:t>
      </w:r>
    </w:p>
    <w:p>
      <w:pPr>
        <w:ind w:left="420"/>
      </w:pPr>
      <w:r>
        <w:t xml:space="preserve">6. hat den Triebfahrzeugführer vor Antritt der Fahrt über die geladenen gefährlichen Güter und deren Position im Zug nach Absatz 1.4.2.2.7 in Verbindung mit Unterabschnitt 5.4.3.3 RID zu informieren;</w:t>
      </w:r>
    </w:p>
    <w:p>
      <w:pPr>
        <w:ind w:left="420"/>
      </w:pPr>
      <w:r>
        <w:t xml:space="preserve">7. hat dafür zu sorgen, dass die in den schriftlichen Weisungen nach Unterabschnitt 5.4.3.4 RID vorgeschriebene Ausrüstung auf dem Führerstand mitgeführt wird;</w:t>
      </w:r>
    </w:p>
    <w:p>
      <w:pPr>
        <w:ind w:left="420"/>
      </w:pPr>
      <w:r>
        <w:t xml:space="preserve">8. hat dafür zu sorgen, dass im Huckepackverkehr am Anhänger die orangefarbenen Tafeln oder die Großzettel (Placards) oder das Kennzeichen nach Absatz 1.1.4.4.3 RID angebracht sind, und</w:t>
      </w:r>
    </w:p>
    <w:p>
      <w:pPr>
        <w:ind w:left="420"/>
      </w:pPr>
      <w:r>
        <w:t xml:space="preserve">9. hat, wenn er gefährliche Güter am Abgangsort übernimmt, sich nach Absatz 1.4.2.2.1 Buchstabe c RID durch eine Sichtprüfung zu vergewissern, dass die Wagen und die Ladung keine offensichtlichen Mängel, keine Undichtigkeiten oder Risse aufweisen und dass keine Ausrüstungsteile fehlen;</w:t>
      </w:r>
    </w:p>
    <w:p>
      <w:pPr>
        <w:ind w:left="420"/>
      </w:pPr>
      <w:r>
        <w:t xml:space="preserve">10. hat, wenn er gefährliche Güter am Abgangsort übernimmt, sich nach Absatz 1.4.2.2.1 Buchstabe f zu vergewissern, dass die für die Wagen in Kapitel 5.3 RID vorgeschriebenen Großzettel (Placards), Kennzeichen und orangefarbenen Tafeln angebracht sind, und</w:t>
      </w:r>
    </w:p>
    <w:p>
      <w:pPr>
        <w:ind w:left="420"/>
      </w:pPr>
      <w:r>
        <w:t xml:space="preserve">11. hat dafür zu sorgen, dass die Informationen, die nach Absatz 1.4.2.2.8 RID zur Verfügung gestellt werden, auch den Tank und seine Ausrüstung umfassen.</w:t>
      </w:r>
    </w:p>
    <w:p>
      <w:r>
        <w:t xml:space="preserve">(4) Der Beförderer in der Binnenschifffahrt</w:t>
      </w:r>
    </w:p>
    <w:p>
      <w:pPr>
        <w:ind w:left="420"/>
      </w:pPr>
      <w:r>
        <w:t xml:space="preserve">1. hat sich zu vergewissern, dass das Schiff nach Abschnitt 7.1.2 oder Abschnitt 7.2.2 ADN zur Beförderung der gefährlichen Güter zugelassen ist;</w:t>
      </w:r>
    </w:p>
    <w:p>
      <w:pPr>
        <w:ind w:left="420"/>
      </w:pPr>
      <w:r>
        <w:t xml:space="preserve">2. hat dafür zu sorgen, dass nach Unterabschnitt 1.10.1.4 ADN für jedes Mitglied der Besatzung ein Lichtbildausweis an Bord ist;</w:t>
      </w:r>
    </w:p>
    <w:p>
      <w:pPr>
        <w:ind w:left="420"/>
      </w:pPr>
      <w:r>
        <w:t xml:space="preserve">3. hat dem Schiffsführer vor Antritt der Fahrt die schriftlichen Weisungen nach Abschnitt 5.4.3 ADN in den Sprachen bereitzustellen, die der Schiffsführer und der Sachkundige lesen und verstehen können;</w:t>
      </w:r>
    </w:p>
    <w:p>
      <w:pPr>
        <w:ind w:left="420"/>
      </w:pPr>
      <w:r>
        <w:t xml:space="preserve">4. hat dafür zu sorgen, dass dem Schiffsführer vor Beförderungsbeginn die erforderlichen Informationen für die Temperaturkontrolle nach Unterabschnitt 7.1.7.3 ADN zur Verfügung gestellt werden;</w:t>
      </w:r>
    </w:p>
    <w:p>
      <w:pPr>
        <w:ind w:left="420"/>
      </w:pPr>
      <w:r>
        <w:t xml:space="preserve">5. hat dafür zu sorgen, dass</w:t>
      </w:r>
    </w:p>
    <w:p>
      <w:pPr>
        <w:ind w:left="780"/>
      </w:pPr>
      <w:r>
        <w:t xml:space="preserve">a) die Besatzung die Vorschriften für das Laden, Befördern, Löschen und sonstige Handhaben der Ladung nach Teil 7 beachtet, mit Ausnahme der Vorschriften über die Klassifikation von Tankschiffen, Gebrauchsanleitungen, Hinweistafeln, Ausrüstungen und Methoden zur Temperaturkontrolle, und</w:t>
      </w:r>
    </w:p>
    <w:p>
      <w:pPr>
        <w:ind w:left="780"/>
      </w:pPr>
      <w:r>
        <w:t xml:space="preserve">b) der vorgeschriebene Ladungsrechner nach den Absätzen 9.3.1.13.3, 9.3.2.13.3 und 9.3.3.13.3 ADN benutzt wird;</w:t>
      </w:r>
    </w:p>
    <w:p>
      <w:pPr>
        <w:ind w:left="420"/>
      </w:pPr>
      <w:r>
        <w:t xml:space="preserve">6. hat dafür zu sorgen, dass die Vorschriften über die Begrenzung der beförderten Mengen nach Unterabschnitt 7.1.4.1 ADN eingehalten werden;</w:t>
      </w:r>
    </w:p>
    <w:p>
      <w:pPr>
        <w:ind w:left="420"/>
      </w:pPr>
      <w:r>
        <w:t xml:space="preserve">7. hat dafür zu sorgen, dass dem Schiffsführer die Dokumente nach den Unterabschnitten 8.1.2.1 bis 8.1.2.3 ADN übergeben werden;</w:t>
      </w:r>
    </w:p>
    <w:p>
      <w:pPr>
        <w:ind w:left="420"/>
      </w:pPr>
      <w:r>
        <w:t xml:space="preserve">8. hat dafür zu sorgen, dass Schiffe nur eingesetzt werden, wenn der hauptverantwortliche Schiffsführer oder, wenn ein solcher nicht bestellt ist, jeder Schiffsführer nach den Unterabschnitten 7.1.3.15 und 7.2.3.15 eine gültige Bescheinigung nach den Unterabschnitten 8.2.1.2, 8.2.1.5 oder 8.2.1.7 ADN hat, und</w:t>
      </w:r>
    </w:p>
    <w:p>
      <w:pPr>
        <w:ind w:left="420"/>
      </w:pPr>
      <w:r>
        <w:t xml:space="preserve">9. hat nach Absatz 1.4.2.2.1 Buchstabe d ADN sicherzustellen, dass beim Laden und Löschen ein zweites Evakuierungsmittel verfügbar ist, sofern die landseitige Einrichtung nicht mit dem vorgeschriebenen zweiten Evakuierungsmittel ausgerüstet ist.</w:t>
      </w:r>
    </w:p>
    <w:p>
      <w:r>
        <w:rPr>
          <w:color w:val="555555"/>
          <w:sz w:val="17"/>
        </w:rPr>
        <w:t xml:space="preserve">Zitiervorschlag: § 19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