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GGVSEB — Pflichten des Absenders</w:t>
      </w:r>
    </w:p>
    <w:p>
      <w:r>
        <w:rPr>
          <w:color w:val="555555"/>
          <w:sz w:val="18"/>
        </w:rPr>
        <w:t xml:space="preserve">Gefahrgutverordnung Straße, Eisenbahn und Binnenschifffahrt</w:t>
      </w:r>
    </w:p>
    <w:p>
      <w:r>
        <w:rPr>
          <w:color w:val="555555"/>
          <w:sz w:val="18"/>
        </w:rPr>
        <w:t xml:space="preserve">Stand: 05.09.2026 (konsolidierte Textfassung, kein amtliches Inkrafttretensdatum)</w:t>
      </w:r>
    </w:p>
    <w:p>
      <w:r>
        <w:t xml:space="preserve">(1) Der Absender im Straßen- und Eisenbahnverkehr sowie in der Binnenschifffahrt hat</w:t>
      </w:r>
    </w:p>
    <w:p>
      <w:pPr>
        <w:ind w:left="420"/>
      </w:pPr>
      <w:r>
        <w:t xml:space="preserve">1. den Beförderer und, wenn die gefährlichen Güter über deutsche See-, Binnen- oder Flughäfen eingeführt worden sind, den Verlader, der als erster die gefährlichen Güter zur Beförderung mit Straßenfahrzeugen, mit der Eisenbahn oder mit Binnenschiffen übergibt oder im Straßenverkehr oder im Binnenschiffsverkehr selbst befördert, mit Erteilung des Beförderungsauftrags</w:t>
      </w:r>
    </w:p>
    <w:p>
      <w:pPr>
        <w:ind w:left="780"/>
      </w:pPr>
      <w:r>
        <w:t xml:space="preserve">a) auf das gefährliche Gut durch die Angaben nach Absatz 5.4.1.1.1 Buchstabe a bis d ADR/RID/ADN oder Absatz 5.4.1.1.2 Buchstabe a bis d ADN</w:t>
      </w:r>
    </w:p>
    <w:p>
      <w:pPr>
        <w:ind w:left="780"/>
      </w:pPr>
      <w:r>
        <w:t xml:space="preserve">b) und, wenn Güter auf der Straße befördert werden, die den §§ 35 und 35a unterliegen, auf deren Beachtung</w:t>
      </w:r>
    </w:p>
    <w:p>
      <w:pPr>
        <w:ind w:left="420"/>
      </w:pPr>
      <w:r>
        <w:t xml:space="preserve">schriftlich oder elektronisch hinzuweisen;</w:t>
      </w:r>
    </w:p>
    <w:p>
      <w:pPr>
        <w:ind w:left="420"/>
      </w:pPr>
      <w:r>
        <w:t xml:space="preserve">2. den Beförderer vor der Beförderung</w:t>
      </w:r>
    </w:p>
    <w:p>
      <w:pPr>
        <w:ind w:left="780"/>
      </w:pPr>
      <w:r>
        <w:t xml:space="preserve">a) nach Abschnitt 3.4.12 ADR/RID/ADN in nachweisbarer Form über die Bruttomasse der in begrenzten Mengen zu versendenden gefährlichen Güter zu informieren und</w:t>
      </w:r>
    </w:p>
    <w:p>
      <w:pPr>
        <w:ind w:left="780"/>
      </w:pPr>
      <w:r>
        <w:t xml:space="preserve">b) von in freigestellten Mengen zu versendenden gefährlichen Gütern nach Kapitel 3.5, mit Ausnahme von freigestellten Mengen nach Unterabschnitt 3.5.1.4 ADR/RID/ADN, über die Anzahl der Versandstücke zu informieren;</w:t>
      </w:r>
    </w:p>
    <w:p>
      <w:pPr>
        <w:ind w:left="420"/>
      </w:pPr>
      <w:r>
        <w:t xml:space="preserve">3. sich vor Erteilung des Beförderungsauftrags und vor Übergabe gefährlicher Güter zur Beförderung zu vergewissern, ob die gefährlichen Güter nach Teil 2 ADR/RID/ADN klassifiziert sind und nach § 3 befördert werden dürfen;</w:t>
      </w:r>
    </w:p>
    <w:p>
      <w:pPr>
        <w:ind w:left="420"/>
      </w:pPr>
      <w:r>
        <w:t xml:space="preserve">4. dafür zu sorgen, dass die in einer Ausnahmezulassung, einer Vereinbarung nach § 5 oder einer Ausnahmeverordnung nach § 6 des Gefahrgutbeförderungsgesetzes festgelegten Angaben in das Beförderungspapier eingetragen werden;</w:t>
      </w:r>
    </w:p>
    <w:p>
      <w:pPr>
        <w:ind w:left="420"/>
      </w:pPr>
      <w:r>
        <w:t xml:space="preserve">5. dafür zu sorgen, dass nur Verpackungen, Großverpackungen, IBC, Tanks, MEMU oder Schiffe verwendet werden, die für die Beförderung der betreffenden Güter nach Kapitel 3.2 Tabelle A ADR/RID, Unterabschnitt 1.1.4.3 ADR/RID oder Kapitel 3.2 Tabelle A und zusätzlich bei Tankschiffbeförderung nach Tabelle C ADN zugelassen und geeignet sind;</w:t>
      </w:r>
    </w:p>
    <w:p>
      <w:pPr>
        <w:ind w:left="420"/>
      </w:pPr>
      <w:r>
        <w:t xml:space="preserve">6. dafür zu sorgen, dass die zuständige Behörde nach Absatz 5.1.5.1.4 ADR/RID/ADN benachrichtigt wird;</w:t>
      </w:r>
    </w:p>
    <w:p>
      <w:pPr>
        <w:ind w:left="420"/>
      </w:pPr>
      <w:r>
        <w:t xml:space="preserve">7. im Besitz einer Kopie der Anweisungen nach Absatz 4.1.9.1.9 und einer Kopie der erforderlichen Zeugnisse nach Absatz 5.1.5.2.2 zu sein und auf Anfrage der zuständigen Behörde nach Absatz 5.1.5.2.3 ADR/RID/ADN Aufzeichnungen zur Verfügung zu stellen;</w:t>
      </w:r>
    </w:p>
    <w:p>
      <w:pPr>
        <w:ind w:left="420"/>
      </w:pPr>
      <w:r>
        <w:t xml:space="preserve">8. dafür zu sorgen, dass ein Beförderungspapier nach Abschnitt 5.4.1 ADR/RID/ADN mitgegeben wird, das auch die nach den anwendbaren Vorschriften in Unterabschnitt 6.7.1.3 ADR/RID und nach Unterabschnitt 3.2.3.2 Tabelle C Spalte 20 ADN geforderten Angaben, Anweisungen und Hinweise enthält;</w:t>
      </w:r>
    </w:p>
    <w:p>
      <w:pPr>
        <w:ind w:left="420"/>
      </w:pPr>
      <w:r>
        <w:t xml:space="preserve">9. dafür zu sorgen, dass dem Beförderer die Zeugnisse nach Absatz 5.4.1.2.5.4 ADR/RID/ADN vor dem Be- und Entladen zugänglich gemacht werden;</w:t>
      </w:r>
    </w:p>
    <w:p>
      <w:pPr>
        <w:ind w:left="420"/>
      </w:pPr>
      <w:r>
        <w:t xml:space="preserve">10. dafür zu sorgen, dass dem Beförderungspapier die erforderlichen Begleitpapiere nach den anwendbaren Sondervorschriften in Kapitel 3.3 ADR/RID/ADN, nach Absatz 4.1.3.8.2 ADR/RID und Unterabschnitt 5.4.1.2 ADR/RID/ADN beigefügt werden;</w:t>
      </w:r>
    </w:p>
    <w:p>
      <w:pPr>
        <w:ind w:left="420"/>
      </w:pPr>
      <w:r>
        <w:t xml:space="preserve">11. den Verlader auf die Begasung von Einheiten schriftlich oder elektronisch hinzuweisen und</w:t>
      </w:r>
    </w:p>
    <w:p>
      <w:pPr>
        <w:ind w:left="420"/>
      </w:pPr>
      <w:r>
        <w:t xml:space="preserve">12. eine Kopie des Beförderungspapiers für gefährliche Güter und der im ADR/RID/ADN festgelegten zusätzlichen Informationen und Dokumentation für einen Mindestzeitraum von drei Monaten ab Ende der Beförderung nach Unterabschnitt 5.4.4.1 ADR/RID/ADN aufzubewahren.</w:t>
      </w:r>
    </w:p>
    <w:p>
      <w:r>
        <w:t xml:space="preserve">(2) Der Absender im Straßenverkehr hat dafür zu sorgen,</w:t>
      </w:r>
    </w:p>
    <w:p>
      <w:pPr>
        <w:ind w:left="420"/>
      </w:pPr>
      <w:r>
        <w:t xml:space="preserve">1. dass dem Beförderer vor Beförderungsbeginn die Ausnahmezulassung nach § 5 Absatz 1 Nummer 1, Absatz 6 oder 7 übergeben wird und</w:t>
      </w:r>
    </w:p>
    <w:p>
      <w:pPr>
        <w:ind w:left="420"/>
      </w:pPr>
      <w:r>
        <w:t xml:space="preserve">2. dass dem Beförderer vor Beförderungsbeginn die erforderlichen Informationen für die Temperaturkontrolle nach Unterabschnitt 7.1.7.3 ADR zur Verfügung gestellt werden.</w:t>
      </w:r>
    </w:p>
    <w:p>
      <w:r>
        <w:t xml:space="preserve">(3) Der Absender im Eisenbahnverkehr hat</w:t>
      </w:r>
    </w:p>
    <w:p>
      <w:pPr>
        <w:ind w:left="420"/>
      </w:pPr>
      <w:r>
        <w:t xml:space="preserve">1. die Vorschriften für den Versand als Expressgut nach Kapitel 7.6 RID zu beachten;</w:t>
      </w:r>
    </w:p>
    <w:p>
      <w:pPr>
        <w:ind w:left="420"/>
      </w:pPr>
      <w:r>
        <w:t xml:space="preserve">2. dafür zu sorgen, dass auch an ungereinigten leeren Wagen, Großcontainern und Kleincontainern für die Beförderung in loser Schüttung sowie Schüttgut-Containern</w:t>
      </w:r>
    </w:p>
    <w:p>
      <w:pPr>
        <w:ind w:left="780"/>
      </w:pPr>
      <w:r>
        <w:t xml:space="preserve">a) Großzettel (Placards) nach Unterabschnitt 5.3.1.6 RID,</w:t>
      </w:r>
    </w:p>
    <w:p>
      <w:pPr>
        <w:ind w:left="780"/>
      </w:pPr>
      <w:r>
        <w:t xml:space="preserve">b) die orangefarbene Tafel nach Absatz 5.3.2.1.7 mit Ausnahme von Absatz 5.3.2.1.5 RID,</w:t>
      </w:r>
    </w:p>
    <w:p>
      <w:pPr>
        <w:ind w:left="780"/>
      </w:pPr>
      <w:r>
        <w:t xml:space="preserve">c) Kennzeichen nach Abschnitt 5.3.6 RID und</w:t>
      </w:r>
    </w:p>
    <w:p>
      <w:pPr>
        <w:ind w:left="780"/>
      </w:pPr>
      <w:r>
        <w:t xml:space="preserve">d) Rangierzettel nach Abschnitt 5.3.4 RID</w:t>
      </w:r>
    </w:p>
    <w:p>
      <w:pPr>
        <w:ind w:left="420"/>
      </w:pPr>
      <w:r>
        <w:t xml:space="preserve">angebracht werden und</w:t>
      </w:r>
    </w:p>
    <w:p>
      <w:pPr>
        <w:ind w:left="420"/>
      </w:pPr>
      <w:r>
        <w:t xml:space="preserve">3. dafür zu sorgen, dass das Beförderungspapier die Angaben nach Absatz 1.1.4.4.5 RID enthält.</w:t>
      </w:r>
    </w:p>
    <w:p>
      <w:r>
        <w:t xml:space="preserve">(4) Der Absender in der Binnenschifffahrt hat dafür zu sorgen,</w:t>
      </w:r>
    </w:p>
    <w:p>
      <w:pPr>
        <w:ind w:left="420"/>
      </w:pPr>
      <w:r>
        <w:t xml:space="preserve">1. dass dem Beförderer oder Schiffsführer vor Beförderungsbeginn die Ausnahmezulassung nach § 5 Absatz 1 Nummer 3 oder Absatz 3 übergeben wird;</w:t>
      </w:r>
    </w:p>
    <w:p>
      <w:pPr>
        <w:ind w:left="420"/>
      </w:pPr>
      <w:r>
        <w:t xml:space="preserve">2. dass auch an ungereinigten und nicht entgasten leeren Tankfahrzeugen, Kesselwagen, Fahrzeugen mit Aufsetztanks, Wagen mit abnehmbaren Tanks, Batterie-Fahrzeugen, Batteriewagen, MEGC, MEMU, Tankcontainern und ortsbeweglichen Tanks sowie an ungereinigten leeren Fahrzeugen, Wagen und Containern für die Beförderung in loser Schüttung</w:t>
      </w:r>
    </w:p>
    <w:p>
      <w:pPr>
        <w:ind w:left="780"/>
      </w:pPr>
      <w:r>
        <w:t xml:space="preserve">a) Großzettel (Placards) nach Absatz 5.3.1.6.1 ADN und</w:t>
      </w:r>
    </w:p>
    <w:p>
      <w:pPr>
        <w:ind w:left="780"/>
      </w:pPr>
      <w:r>
        <w:t xml:space="preserve">b) die orangefarbenen Tafeln nach Absatz 5.3.2.1.7 ADN</w:t>
      </w:r>
    </w:p>
    <w:p>
      <w:pPr>
        <w:ind w:left="420"/>
      </w:pPr>
      <w:r>
        <w:t xml:space="preserve">angebracht werden und</w:t>
      </w:r>
    </w:p>
    <w:p>
      <w:pPr>
        <w:ind w:left="420"/>
      </w:pPr>
      <w:r>
        <w:t xml:space="preserve">3. dass dem Beförderer vor Beförderungsbeginn die erforderlichen Informationen für die Temperaturkontrolle nach Unterabschnitt 7.1.7.3 ADN zur Verfügung gestellt werden.</w:t>
      </w:r>
    </w:p>
    <w:p>
      <w:r>
        <w:rPr>
          <w:color w:val="555555"/>
          <w:sz w:val="17"/>
        </w:rPr>
        <w:t xml:space="preserve">Zitiervorschlag: § 18 GGVSEB</w:t>
      </w:r>
    </w:p>
    <w:p>
      <w:r>
        <w:rPr>
          <w:color w:val="555555"/>
          <w:sz w:val="17"/>
        </w:rPr>
        <w:t xml:space="preserve">Quelle: Bundesamt für Justiz, abgerufen 05.09.2026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https://recht.nulegal.eu/gesetze/GGVSEB/18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