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GGVSEB — Pflichten des Auftraggebers des Absenders</w:t>
      </w:r>
    </w:p>
    <w:p>
      <w:r>
        <w:rPr>
          <w:color w:val="555555"/>
          <w:sz w:val="18"/>
        </w:rPr>
        <w:t xml:space="preserve">Gefahrgutverordnung Straße, Eisenbahn und Binnenschifffahrt</w:t>
      </w:r>
    </w:p>
    <w:p>
      <w:r>
        <w:rPr>
          <w:color w:val="555555"/>
          <w:sz w:val="18"/>
        </w:rPr>
        <w:t xml:space="preserve">Stand: 05.09.2026 (konsolidierte Textfassung, kein amtliches Inkrafttretensdatum)</w:t>
      </w:r>
    </w:p>
    <w:p>
      <w:r>
        <w:t xml:space="preserve">(1) Der Auftraggeber des Absenders im Straßen- und Eisenbahnverkehr sowie in der Binnenschifffahrt hat</w:t>
      </w:r>
    </w:p>
    <w:p>
      <w:pPr>
        <w:ind w:left="420"/>
      </w:pPr>
      <w:r>
        <w:t xml:space="preserve">1. sich vor Erteilung eines Auftrags an den Absender zu vergewissern, ob die gefährlichen Güter nach Teil 2 ADR/RID/ADN klassifiziert sind und nach § 3 befördert werden dürfen;</w:t>
      </w:r>
    </w:p>
    <w:p>
      <w:pPr>
        <w:ind w:left="420"/>
      </w:pPr>
      <w:r>
        <w:t xml:space="preserve">2. dafür zu sorgen, dass dem Absender die Angaben nach den Unterabschnitten 5.4.1.1, 5.4.1.2 sowie den Absätzen 5.5.2.4.1, 5.5.2.4.3 und 5.5.3.7.1 ADR/RID/ADN, im Straßenverkehr mit Ausnahme von Namen und Anschrift des Absenders nach Absatz 5.4.1.1.1 Buchstabe g ADR, schriftlich oder elektronisch mitgeteilt werden, und ihn, wenn Güter auf der Straße befördert werden, die § 35 Absatz 4 Satz 1 oder § 35a Absatz 1 oder Absatz 4 Satz 1 unterliegen, auf deren Beachtung schriftlich oder elektronisch hinzuweisen und</w:t>
      </w:r>
    </w:p>
    <w:p>
      <w:pPr>
        <w:ind w:left="420"/>
      </w:pPr>
      <w:r>
        <w:t xml:space="preserve">3. dafür zu sorgen, dass der Absender bei Beförderung nach Kapitel 3.4 auf das gefährliche Gut in begrenzten Mengen unter Angabe der Bruttomasse und bei Beförderung nach Kapitel 3.5 auf das gefährliche Gut in freigestellten Mengen unter Angabe der Anzahl der Versandstücke, ausgenommen bei Beförderungen nach Unterabschnitt 3.5.1.4 ADR/RID/ADN, hingewiesen wird.</w:t>
      </w:r>
    </w:p>
    <w:p>
      <w:r>
        <w:t xml:space="preserve">(2) Der Auftraggeber des Absenders im Eisenbahnverkehr hat dafür zu sorgen, dass dem Absender die Angaben nach Absatz 1.1.4.4.5 RID schriftlich oder elektronisch mitgeteilt werden.</w:t>
      </w:r>
    </w:p>
    <w:p>
      <w:r>
        <w:t xml:space="preserve">(3) Der Auftraggeber des Absenders im Straßenverkehr sowie in der Binnenschifffahrt hat dafür zu sorgen, dass dem Absender vor Beförderungsbeginn die erforderlichen Informationen für die Temperaturkontrolle nach Unterabschnitt 7.1.7.3 ADR/ADN zur Verfügung gestellt werden.</w:t>
      </w:r>
    </w:p>
    <w:p>
      <w:r>
        <w:rPr>
          <w:color w:val="555555"/>
          <w:sz w:val="17"/>
        </w:rPr>
        <w:t xml:space="preserve">Zitiervorschlag: § 17 GGVSEB</w:t>
      </w:r>
    </w:p>
    <w:p>
      <w:r>
        <w:rPr>
          <w:color w:val="555555"/>
          <w:sz w:val="17"/>
        </w:rPr>
        <w:t xml:space="preserve">Quelle: Bundesamt für Justiz, abgerufen 05.09.2026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https://recht.nulegal.eu/gesetze/GGVSEB/17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