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GGVSEB — Besondere Zuständigkeiten in der Binnenschifffahrt</w:t>
      </w:r>
    </w:p>
    <w:p>
      <w:r>
        <w:rPr>
          <w:color w:val="555555"/>
          <w:sz w:val="18"/>
        </w:rPr>
        <w:t xml:space="preserve">Gefahrgutverordnung Straße, Eisenbahn und Binnenschifffahrt</w:t>
      </w:r>
    </w:p>
    <w:p>
      <w:r>
        <w:rPr>
          <w:color w:val="555555"/>
          <w:sz w:val="18"/>
        </w:rPr>
        <w:t xml:space="preserve">Stand: 05.09.2026 (konsolidierte Textfassung, kein amtliches Inkrafttretensdatum)</w:t>
      </w:r>
    </w:p>
    <w:p>
      <w:r>
        <w:t xml:space="preserve">(1) Die Physikalisch-Technische Bundesanstalt ist zuständige Behörde für</w:t>
      </w:r>
    </w:p>
    <w:p>
      <w:pPr>
        <w:ind w:left="420"/>
      </w:pPr>
      <w:r>
        <w:t xml:space="preserve">1. die Typzulassung von Flammendurchschlagsicherungen nach Absatz 1.6.7.2.2.2 ADN (Übergangsvorschrift zur Begriffsbestimmung „Flammendurchschlagsicherung“), von Hochgeschwindigkeitsventilen nach Absatz 1.6.7.2.2.2 ADN (Übergangsvorschrift zur Begriffsbestimmung „Hochgeschwindigkeitsventil“), von Deflagrationssicherheit der Probeentnahmeöffnung nach Absatz 1.6.7.2.2.2 ADN (Übergangsvorschrift zur Begriffsbestimmung „Probeentnahmeöffnung“), von Deflagrationssicherheit der Vorrichtung zum gefahrlosen Entspannen von Ladetanks nach Absatz 1.6.7.2.2.2 ADN (Übergangsvorschrift zur Begriffsbestimmung „Vorrichtung zum gefahrlosen Entspannen von Ladetanks“) und von Unterdruckventilen nach Absatz 1.6.7.2.2.2 ADN (Übergangsvorschrift zur Begriffsbestimmung „Unterdruckventil-Deflagrationssicherheit“) sowie</w:t>
      </w:r>
    </w:p>
    <w:p>
      <w:pPr>
        <w:ind w:left="420"/>
      </w:pPr>
      <w:r>
        <w:t xml:space="preserve">2. den Erlass von Vorschriften für den Öffnungsdruck von Sicherheitsventilen von Drucktanks nach Abschnitt 1.2.1 ADN Begriffsbestimmung „Öffnungsdruck“.</w:t>
      </w:r>
    </w:p>
    <w:p>
      <w:r>
        <w:t xml:space="preserve">(2) Die Generaldirektion Wasserstraßen und Schifffahrt ist zuständige Behörde für</w:t>
      </w:r>
    </w:p>
    <w:p>
      <w:pPr>
        <w:ind w:left="420"/>
      </w:pPr>
      <w:r>
        <w:t xml:space="preserve">1. Aufgaben nach Kapitel 1.16 mit Ausnahme der Unterabschnitte 1.16.2.3 und 1.16.13.2 Satz 2 und 3 ADN;</w:t>
      </w:r>
    </w:p>
    <w:p>
      <w:pPr>
        <w:ind w:left="420"/>
      </w:pPr>
      <w:r>
        <w:t xml:space="preserve">2. die Anerkennung und Überwachung der Schulungen und Prüfungen nach Unterabschnitt 8.2.2.6 sowie die Anerkennung von Dokumenten nach den Unterabschnitten 8.2.1.9 und 8.2.1.10 ADN;</w:t>
      </w:r>
    </w:p>
    <w:p>
      <w:pPr>
        <w:ind w:left="420"/>
      </w:pPr>
      <w:r>
        <w:t xml:space="preserve">3. die Zulassung von Personen zur Prüfung</w:t>
      </w:r>
    </w:p>
    <w:p>
      <w:pPr>
        <w:ind w:left="780"/>
      </w:pPr>
      <w:r>
        <w:t xml:space="preserve">a) der Isolationswiderstände und der Erdung der festinstallierten elektrischen Anlagen und Geräte nach Unterabschnitt 8.1.7.1 ADN und</w:t>
      </w:r>
    </w:p>
    <w:p>
      <w:pPr>
        <w:ind w:left="780"/>
      </w:pPr>
      <w:r>
        <w:t xml:space="preserve">b) der Anlagen und Geräte zum Einsatz in explosionsgefährdeten Bereichen, der Geräte vom Typ „begrenzte Explosionsgefahr“, der Anlagen und Geräte, die den Unterabschnitten 9.3.1.51, 9.3.2.51 und 9.3.3.51 entsprechen, sowie der autonomen Schutzsysteme oder der Übereinstimmung von Unterlagen mit den Gegebenheiten an Bord nach Unterabschnitt 8.1.7.2 ADN;</w:t>
      </w:r>
    </w:p>
    <w:p>
      <w:pPr>
        <w:ind w:left="420"/>
      </w:pPr>
      <w:r>
        <w:t xml:space="preserve">4. die Zulassung von Personen für die Nachprüfung und Untersuchung der Feuerlöschgeräte, der Feuerlöschschläuche und der Lade- und Löschschläuche nach den Unterabschnitten 8.1.6.1 und 8.1.6.2 ADN;</w:t>
      </w:r>
    </w:p>
    <w:p>
      <w:pPr>
        <w:ind w:left="420"/>
      </w:pPr>
      <w:r>
        <w:t xml:space="preserve">5. die Feststellung, ob elektrische Geräte, Mess-, Regel- und Alarmeinrichtungen und Motoren gemäß Absatz 1.6.7.2.2.2 (Übergangsvorschrift zu den Absätzen 9.3.1.53.1, 9.3.2.53.1 und 9.3.3.53.1 ADN) hinsichtlich ihrer Betriebssicherheit in explosionsfähiger Atmosphäre geprüft und zugelassen sind;</w:t>
      </w:r>
    </w:p>
    <w:p>
      <w:pPr>
        <w:ind w:left="420"/>
      </w:pPr>
      <w:r>
        <w:t xml:space="preserve">6. das Eintragen eines Sichtvermerkes in die Unterlagen zu den elektrischen Betriebsmitteln nach Absatz 1.6.7.2.2.2 (Übergangsvorschrift zu Unterabschnitt 8.1.2.3 Buchstabe r, s, t und v ADN) und das Eintragen eines Sichtvermerkes in die an Bord mitzuführenden Dokumente nach den Unterabschnitten 8.1.2.2 und 8.1.2.3 ADN;</w:t>
      </w:r>
    </w:p>
    <w:p>
      <w:pPr>
        <w:ind w:left="420"/>
      </w:pPr>
      <w:r>
        <w:t xml:space="preserve">7. das Führen eines Verzeichnisses über alle gültigen Schulungsbescheinigungen für Sachkundige nach Unterabschnitt 1.10.1.6 ADN;</w:t>
      </w:r>
    </w:p>
    <w:p>
      <w:pPr>
        <w:ind w:left="420"/>
      </w:pPr>
      <w:r>
        <w:t xml:space="preserve">8. die Entgegennahme der Berichte über die Meldung von Ereignissen mit gefährlichen Gütern nach Unterabschnitt 1.8.5.1 ADN und deren Vorlage an das Bundesministerium für Digitales und Verkehr;</w:t>
      </w:r>
    </w:p>
    <w:p>
      <w:pPr>
        <w:ind w:left="420"/>
      </w:pPr>
      <w:r>
        <w:t xml:space="preserve">9. die Zulassung von sachkundigen Personen oder Firmen nach Unterabschnitt 3.2.3.1 Tabelle C Spalte 20 Nummer 12 Buchstabe q und Nummer 33 Buchstabe i 2 ADN;</w:t>
      </w:r>
    </w:p>
    <w:p>
      <w:pPr>
        <w:ind w:left="420"/>
      </w:pPr>
      <w:r>
        <w:t xml:space="preserve">10. die Genehmigung von alternativen Bauweisen und das Verlangen zusätzlicher Berechnungen und Nachweise nach Absatz 9.3.4.1.4 ADN;</w:t>
      </w:r>
    </w:p>
    <w:p>
      <w:pPr>
        <w:ind w:left="420"/>
      </w:pPr>
      <w:r>
        <w:t xml:space="preserve">11. Gleichwertigkeiten und Abweichungen nach Abschnitt 1.5.3 ADN;</w:t>
      </w:r>
    </w:p>
    <w:p>
      <w:pPr>
        <w:ind w:left="420"/>
      </w:pPr>
      <w:r>
        <w:t xml:space="preserve">12. die Genehmigung von Ladeplänen nach Unterabschnitt 3.2.3.1 Tabelle C Spalte 20 Nummer 12 Buchstabe p ADN bei der Beförderung von UN 1280 und UN 2983;</w:t>
      </w:r>
    </w:p>
    <w:p>
      <w:pPr>
        <w:ind w:left="420"/>
      </w:pPr>
      <w:r>
        <w:t xml:space="preserve">13. die Feststellung der Übereinstimmung der Kopie des Zulassungszeugnisses auf der Tafel eines Schubleichters mit dem Original nach den Unterabschnitten 8.1.2.6 und 8.1.2.7 ADN und</w:t>
      </w:r>
    </w:p>
    <w:p>
      <w:pPr>
        <w:ind w:left="420"/>
      </w:pPr>
      <w:r>
        <w:t xml:space="preserve">14. den Erlass von Betriebsvorschriften nach Absatz 1.6.7.2.2.2 Übergangsvorschrift zu den Absätzen 9.3.1.17.1 und 9.3.3.17.1 ADN.</w:t>
      </w:r>
    </w:p>
    <w:p>
      <w:r>
        <w:t xml:space="preserve">Die in Satz 1 Nummer 3, 4, 9, 10 und 12 genannten Zulassungen und Genehmigungen können widerruflich erteilt, befristet und mit Auflagen versehen werden, soweit dies erforderlich ist, um die Einhaltung der gefahrgutbeförderungsrechtlichen Vorschriften sicherzustellen.</w:t>
      </w:r>
    </w:p>
    <w:p>
      <w:r>
        <w:t xml:space="preserve">(3) Zuständige Behörde für die Zulassung von Personen zur Feststellung und Bescheinigung der Gasfreiheit nach den Absätzen 7.2.3.7.1.6 Satz 3 und 7.2.3.7.2.6 Satz 3 ADN ist</w:t>
      </w:r>
    </w:p>
    <w:p>
      <w:pPr>
        <w:ind w:left="420"/>
      </w:pPr>
      <w:r>
        <w:t xml:space="preserve">1. die Generaldirektion Wasserstraßen und Schifffahrt im Bereich der Bundeswasserstraßen und</w:t>
      </w:r>
    </w:p>
    <w:p>
      <w:pPr>
        <w:ind w:left="420"/>
      </w:pPr>
      <w:r>
        <w:t xml:space="preserve">2. die jeweilige nach Landesrecht zuständige Stelle im Bereich der übrigen schiffbaren Wasserstraßen.</w:t>
      </w:r>
    </w:p>
    <w:p>
      <w:r>
        <w:t xml:space="preserve">Die Zulassung gilt als erteilt für die von einer Industrie- und Handelskammer öffentlich bestellten und vereidigten Handelschemiker mit der besonderen Qualifikation für die Feststellung von Gaszuständen auf Wasserfahrzeugen und die Ausstellung von Gaszustandsbescheinigungen. Die Zulassung kann widerruflich erteilt, befristet und mit Auflagen versehen werden, soweit dies erforderlich ist, um die Einhaltung der gefahrgutbeförderungsrechtlichen Vorschriften sicherzustellen.</w:t>
      </w:r>
    </w:p>
    <w:p>
      <w:r>
        <w:t xml:space="preserve">(4) Die Generaldirektion Wasserstraßen und Schifffahrt im Bereich der Bundeswasserstraßen und die jeweilige nach Landesrecht zuständige Stelle im Bereich der übrigen schiffbaren Wasserstraßen ist zuständige Behörde für die Verfolgung und Ahndung von Ordnungswidrigkeiten nach § 37.</w:t>
      </w:r>
    </w:p>
    <w:p>
      <w:r>
        <w:t xml:space="preserve">(5) Die Generaldirektion Wasserstraßen und Schifffahrt ist zuständige Behörde für</w:t>
      </w:r>
    </w:p>
    <w:p>
      <w:pPr>
        <w:ind w:left="420"/>
      </w:pPr>
      <w:r>
        <w:t xml:space="preserve">1. das Ausstellen von Bescheinigungen nach den Unterabschnitten 8.2.1.2 und 8.2.2.8 ADN und</w:t>
      </w:r>
    </w:p>
    <w:p>
      <w:pPr>
        <w:ind w:left="420"/>
      </w:pPr>
      <w:r>
        <w:t xml:space="preserve">2. die Durchführung von Prüfungen nach Unterabschnitt 8.2.2.7 ADN.</w:t>
      </w:r>
    </w:p>
    <w:p>
      <w:r>
        <w:t xml:space="preserve">(6) Das Wasserstraßen- und Schifffahrtsamt in seinem jeweiligen Amtsbezirk im Bereich der Bundeswasserstraßen und die jeweilige nach Landesrecht zuständige Stelle im Bereich der übrigen schiffbaren Wasserstraßen ist zuständige Behörde für</w:t>
      </w:r>
    </w:p>
    <w:p>
      <w:pPr>
        <w:ind w:left="420"/>
      </w:pPr>
      <w:r>
        <w:t xml:space="preserve">1. Aufgaben nach Teil 7 ADN mit Ausnahme von Aufgaben nach Absatz 3 und § 11 Nummer 6;</w:t>
      </w:r>
    </w:p>
    <w:p>
      <w:pPr>
        <w:ind w:left="420"/>
      </w:pPr>
      <w:r>
        <w:t xml:space="preserve">2. das Genehmigen von Arbeiten an Bord mit elektrischem Strom oder Feuer oder bei deren Ausführung Funken entstehen können nach Abschnitt 8.3.5 ADN;</w:t>
      </w:r>
    </w:p>
    <w:p>
      <w:pPr>
        <w:ind w:left="420"/>
      </w:pPr>
      <w:r>
        <w:t xml:space="preserve">3. die Entgegennahme der Meldungen über erhöhte Konzentrationen an Schwefelwasserstoff nach Unterabschnitt 3.2.3.2 Tabelle C Spalte 20 Nummer 28 Buchstabe b ADN bei der Beförderung von UN 2448;</w:t>
      </w:r>
    </w:p>
    <w:p>
      <w:pPr>
        <w:ind w:left="420"/>
      </w:pPr>
      <w:r>
        <w:t xml:space="preserve">4. Kontrollen nach Absatz 1.8.1.1.1 und die Untersagung der Verwendung eines Schiffes für die Beförderung gefährlicher Güter nach Unterabschnitt 1.16.13.2 ADN und</w:t>
      </w:r>
    </w:p>
    <w:p>
      <w:pPr>
        <w:ind w:left="420"/>
      </w:pPr>
      <w:r>
        <w:t xml:space="preserve">5. die Entgegennahme der Informationen und Mitteilungen nach Unterabschnitt 1.7.6.1 Buchstabe b Gliederungseinheit iv und Buchstabe c ADN.</w:t>
      </w:r>
    </w:p>
    <w:p>
      <w:r>
        <w:t xml:space="preserve">Zuständige Behörde nach Satz 1 Nummer 4 und 5 sowie Unterabschnitt 7.1.5.5 ADN ist auch die jeweils nach Landesrecht zuständige Stelle. Die in Nummer 2 genannte Genehmigung kann widerruflich erteilt, befristet und mit Auflagen versehen werden, soweit dies erforderlich ist, um die Einhaltung der gefahrgutbeförderungsrechtlichen Vorschriften sicherzustellen.</w:t>
      </w:r>
    </w:p>
    <w:p>
      <w:r>
        <w:t xml:space="preserve">(7) Die jeweilige nach Landesrecht zuständige Stelle ist zuständige Behörde für Kontrollen nach Unterabschnitt 1.8.1.4 ADN.</w:t>
      </w:r>
    </w:p>
    <w:p>
      <w:r>
        <w:t xml:space="preserve">(8) Die Berufsgenossenschaft Verkehrswirtschaft Post-Logistik Telekommunikation ist zuständig nach der IMO Resolution A.749 (18) einschließlich deren Anlage „Code über Intaktstabilität aller Schiffstypen“ in der Fassung der Bekanntmachung vom 18. März 1999 (VkBl. S. 164) für die Prüfung der Stabilitätsunterlagen nach Absatz 9.2.0.94.4 ADN.</w:t>
      </w:r>
    </w:p>
    <w:p>
      <w:r>
        <w:rPr>
          <w:color w:val="555555"/>
          <w:sz w:val="17"/>
        </w:rPr>
        <w:t xml:space="preserve">Zitiervorschlag: § 16 GGVSEB</w:t>
      </w:r>
    </w:p>
    <w:p>
      <w:r>
        <w:rPr>
          <w:color w:val="555555"/>
          <w:sz w:val="17"/>
        </w:rPr>
        <w:t xml:space="preserve">Quelle: Bundesamt für Justiz, abgerufen 05.09.2026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