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GGVSEB — Besondere Zuständigkeiten im Eisenbahnverkehr</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(1) Das Eisenbahn-Bundesamt ist zuständige Behörde für</w:t>
      </w:r>
    </w:p>
    <w:p>
      <w:pPr>
        <w:ind w:left="420"/>
      </w:pPr>
      <w:r>
        <w:t xml:space="preserve">1. die Erteilung einer Genehmigung für die Fortsetzung einer Beförderung nach Absatz 1.4.2.2.4 RID im Bereich der Eisenbahnen des Bundes;</w:t>
      </w:r>
    </w:p>
    <w:p>
      <w:pPr>
        <w:ind w:left="420"/>
      </w:pPr>
      <w:r>
        <w:t xml:space="preserve">2. die Entgegennahme der Informationen und Mitteilungen nach Unterabschnitt 1.7.6.1 Buchstabe b Gliederungseinheit iv und Buchstabe c RID im Bereich der Eisenbahnen des Bundes;</w:t>
      </w:r>
    </w:p>
    <w:p>
      <w:pPr>
        <w:ind w:left="420"/>
      </w:pPr>
      <w:r>
        <w:t xml:space="preserve">3. die Durchführung der behördlichen Gefahrgutkontrollen nach Abschnitt 1.8.1 RID und dieser Verordnung im Bereich der Eisenbahnen des Bundes;</w:t>
      </w:r>
    </w:p>
    <w:p>
      <w:pPr>
        <w:ind w:left="420"/>
      </w:pPr>
      <w:r>
        <w:t xml:space="preserve">4. die Durchführung der Amtshilfe nach Abschnitt 1.8.2 RID im Bereich der Eisenbahnen des Bundes;</w:t>
      </w:r>
    </w:p>
    <w:p>
      <w:pPr>
        <w:ind w:left="420"/>
      </w:pPr>
      <w:r>
        <w:t xml:space="preserve">5. die Entgegennahme der Berichte über die Meldung von Ereignissen mit gefährlichen Gütern nach Unterabschnitt 1.8.5.1 RID und deren Vorlage an das Bundesministerium für Digitales und Verkehr;</w:t>
      </w:r>
    </w:p>
    <w:p>
      <w:pPr>
        <w:ind w:left="420"/>
      </w:pPr>
      <w:r>
        <w:t xml:space="preserve">6. die Festlegung von ergänzenden Vorschriften oder besonderen Sicherheitsvorschriften nach Kapitel 1.9 im Bereich der Eisenbahnen des Bundes und die Unterrichtung der Zwischenstaatlichen Organisation für den internationalen Eisenbahnverkehr (OTIF) über die Beförderungseinschränkungen nach Abschnitt 1.9.4 RID im Bereich der Eisenbahnen des Bundes, jeweils im Einvernehmen mit dem Bundesministerium für Digitales und Verkehr;</w:t>
      </w:r>
    </w:p>
    <w:p>
      <w:pPr>
        <w:ind w:left="420"/>
      </w:pPr>
      <w:r>
        <w:t xml:space="preserve">7. das Vorschreiben von Versuchen für Kesselwagen nach Absatz 6.8.2.1.2 Satz 2 sowie die Zulassung der Streckgrenze und Zugfestigkeit nach Absatz 6.8.2.1.16 RID;</w:t>
      </w:r>
    </w:p>
    <w:p>
      <w:pPr>
        <w:ind w:left="420"/>
      </w:pPr>
      <w:r>
        <w:t xml:space="preserve">8. die Festlegung der Bedingungen für Schweißnähte der Tankkörper nach Absatz 6.8.5.2.2 RID;</w:t>
      </w:r>
    </w:p>
    <w:p>
      <w:pPr>
        <w:ind w:left="420"/>
      </w:pPr>
      <w:r>
        <w:t xml:space="preserve">9. die Entscheidung über die Ausnahme für Rücksendungen nach Absatz 4.3.2.3.7 Buchstabe b, Absatz 6.7.2.19.6.1 Buchstabe b, Absatz 6.7.3.15.6.1 Buchstabe b und Absatz 6.7.4.14.6.1 Buchstabe b RID;</w:t>
      </w:r>
    </w:p>
    <w:p>
      <w:pPr>
        <w:ind w:left="420"/>
      </w:pPr>
      <w:r>
        <w:t xml:space="preserve">10. die Baumusterzulassung von Kesselwagen und abnehmbaren Tanks nach Kapitel 6.8 RID, sofern diese Zulassungen nicht in den Geltungsbereich der Ortsbewegliche-Druckgeräte-Verordnung fallen, sowie die Anordnung von Inbetriebnahmeüberprüfungen von Kesselwagen und abnehmbaren Tanks nach Absatz 6.8.1.5.5 und Unterabschnitt 1.8.7.5 RID;</w:t>
      </w:r>
    </w:p>
    <w:p>
      <w:pPr>
        <w:ind w:left="420"/>
      </w:pPr>
      <w:r>
        <w:t xml:space="preserve">11. die Erteilung der Zustimmung nach Absatz 6.8.3.2.16 RID;</w:t>
      </w:r>
    </w:p>
    <w:p>
      <w:pPr>
        <w:ind w:left="420"/>
      </w:pPr>
      <w:r>
        <w:t xml:space="preserve">12. die Festlegung der Bedingungen oder Genehmigung eines Prüfprogramms nach Abschnitt 6.8.4 Buchstabe c Sondervorschrift TA 2 RID, jeweils im Einvernehmen mit der Bundesanstalt für Materialforschung und -prüfung;</w:t>
      </w:r>
    </w:p>
    <w:p>
      <w:pPr>
        <w:ind w:left="420"/>
      </w:pPr>
      <w:r>
        <w:t xml:space="preserve">13. die Bescheinigung über die Zulassung einer Änderung nach Absatz 6.8.2.3.4 RID für Kesselwagen und abnehmbare Tanks, sofern diese Aufgabe nicht in den Geltungsbereich der Ortsbewegliche-Druckgeräte-Verordnung fällt;</w:t>
      </w:r>
    </w:p>
    <w:p>
      <w:pPr>
        <w:ind w:left="420"/>
      </w:pPr>
      <w:r>
        <w:t xml:space="preserve">14. die Verfolgung und Ahndung von Ordnungswidrigkeiten nach § 37 im Bereich der Eisenbahnen des Bundes und</w:t>
      </w:r>
    </w:p>
    <w:p>
      <w:pPr>
        <w:ind w:left="420"/>
      </w:pPr>
      <w:r>
        <w:t xml:space="preserve">15. die Festlegung von Normen und Bedingungen nach Unterabschnitt 7.3.3.1 VC 3 und die Zulassung zur Weiterverwendung nach Unterabschnitt 1.6.1.54 RID.</w:t>
      </w:r>
    </w:p>
    <w:p>
      <w:r>
        <w:t xml:space="preserve">(2) Die unter Absatz 1 Nummer 8 und Nummer 10 bis 13 genannten Zulassungen, Zustimmungen, Anerkennungen und Genehmigungen können widerruflich erteilt, befristet und mit Auflagen versehen werden, soweit dies erforderlich ist, um die Einhaltung der gefahrgutbeförderungsrechtlichen Vorschriften sicherzustellen.</w:t>
      </w:r>
    </w:p>
    <w:p>
      <w:r>
        <w:t xml:space="preserve">(3) Die nach Landesrecht zuständigen Behörden sind zuständig für Beförderungen im Bereich der nichtbundeseigenen Eisenbahnen, soweit in dieser Verordnung nichts anderes bestimmt ist.</w:t>
      </w:r>
    </w:p>
    <w:p>
      <w:r>
        <w:rPr>
          <w:color w:val="555555"/>
          <w:sz w:val="17"/>
        </w:rPr>
        <w:t xml:space="preserve">Zitiervorschlag: § 15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