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GGVSEB — Ergänzende Zuständigkeiten der Benannten Stellen für Druckgefäße</w:t>
      </w:r>
    </w:p>
    <w:p>
      <w:r>
        <w:rPr>
          <w:color w:val="555555"/>
          <w:sz w:val="18"/>
        </w:rPr>
        <w:t xml:space="preserve">Gefahrgutverordnung Straße, Eisenbahn und Binnenschifffahrt</w:t>
      </w:r>
    </w:p>
    <w:p>
      <w:r>
        <w:rPr>
          <w:color w:val="555555"/>
          <w:sz w:val="18"/>
        </w:rPr>
        <w:t xml:space="preserve">Stand: 05.09.2026 (konsolidierte Textfassung, kein amtliches Inkrafttretensdatum)</w:t>
      </w:r>
    </w:p>
    <w:p>
      <w:r>
        <w:t xml:space="preserve">(1) Die nach § 16 Absatz 1 der Ortsbewegliche-Druckgeräte-Verordnung anerkannten Benannten Stellen sind zuständig für</w:t>
      </w:r>
    </w:p>
    <w:p>
      <w:pPr>
        <w:ind w:left="420"/>
      </w:pPr>
      <w:r>
        <w:t xml:space="preserve">1. die Bescheinigung über die Zulassung einer Änderung nach Absatz 1.8.7.2.2.3 ADR/RID;</w:t>
      </w:r>
    </w:p>
    <w:p>
      <w:pPr>
        <w:ind w:left="420"/>
      </w:pPr>
      <w:r>
        <w:t xml:space="preserve">2. die Aufgaben nach Unterabschnitt 4.1.4.1 Verpackungsanweisung P 200 mit Ausnahme des Absatzes 9 ADR/RID im Einvernehmen mit dem Bundesministerium für Digitales und Verkehr;</w:t>
      </w:r>
    </w:p>
    <w:p>
      <w:pPr>
        <w:ind w:left="420"/>
      </w:pPr>
      <w:r>
        <w:t xml:space="preserve">3. die Festlegung der Prüffristen nach Unterabschnitt 4.1.4.1 Verpackungsanweisung P 200 Absatz 9 ADR/RID im Einvernehmen mit der Bundesanstalt für Materialforschung und -prüfung;</w:t>
      </w:r>
    </w:p>
    <w:p>
      <w:pPr>
        <w:ind w:left="420"/>
      </w:pPr>
      <w:r>
        <w:t xml:space="preserve">4. die Prüfung und Zulassung der Druckgefäße nach Absatz 6.2.1.4.1 ADR/RID;</w:t>
      </w:r>
    </w:p>
    <w:p>
      <w:pPr>
        <w:ind w:left="420"/>
      </w:pPr>
      <w:r>
        <w:t xml:space="preserve">5. die Anerkennung des Qualitätssicherungsprogramms nach Absatz 6.2.1.4.2 ADR/RID;</w:t>
      </w:r>
    </w:p>
    <w:p>
      <w:pPr>
        <w:ind w:left="420"/>
      </w:pPr>
      <w:r>
        <w:t xml:space="preserve">6. die wiederkehrenden Prüfungen nach den Absätzen 6.2.1.6.1 und 6.2.1.6.2 ADR/RID und</w:t>
      </w:r>
    </w:p>
    <w:p>
      <w:pPr>
        <w:ind w:left="420"/>
      </w:pPr>
      <w:r>
        <w:t xml:space="preserve">7. die Bewertung der Eignung des Herstellers nach Absatz 6.2.1.7.2 ADR/RID.</w:t>
      </w:r>
    </w:p>
    <w:p>
      <w:r>
        <w:t xml:space="preserve">(2) Die Benannten Stellen müssen dabei die in den Abschnitten 1.8.7 und 1.8.8 ADR/RID festgelegten Verfahren für die Konformitätsbewertung und für die wiederkehrenden Prüfungen anwenden.</w:t>
      </w:r>
    </w:p>
    <w:p>
      <w:r>
        <w:t xml:space="preserve">(3) Absatz 1 Nummer 1 und Nummer 4 bis 7 sowie Absatz 2 gelten nicht, sofern diese Aufgaben in den Geltungsbereich der Ortsbewegliche-Druckgeräte-Verordnung fallen.</w:t>
      </w:r>
    </w:p>
    <w:p>
      <w:r>
        <w:rPr>
          <w:color w:val="555555"/>
          <w:sz w:val="17"/>
        </w:rPr>
        <w:t xml:space="preserve">Zitiervorschlag: § 13 GGVSEB</w:t>
      </w:r>
    </w:p>
    <w:p>
      <w:r>
        <w:rPr>
          <w:color w:val="555555"/>
          <w:sz w:val="17"/>
        </w:rPr>
        <w:t xml:space="preserve">Quelle: Bundesamt für Justiz, abgerufen 05.09.2026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https://recht.nulegal.eu/gesetze/GGVSEB/13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