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GGVSEB — Zuständigkeiten der Prüfstellen für Tanks</w:t>
      </w:r>
    </w:p>
    <w:p>
      <w:r>
        <w:rPr>
          <w:color w:val="555555"/>
          <w:sz w:val="18"/>
        </w:rPr>
        <w:t xml:space="preserve">Gefahrgutverordnung Straße, Eisenbahn und Binnenschifffahrt</w:t>
      </w:r>
    </w:p>
    <w:p>
      <w:r>
        <w:rPr>
          <w:color w:val="555555"/>
          <w:sz w:val="18"/>
        </w:rPr>
        <w:t xml:space="preserve">Stand: 01.01.2026 (konsolidierte Textfassung, kein amtliches Inkrafttretensdatum)</w:t>
      </w:r>
    </w:p>
    <w:p>
      <w:r>
        <w:t xml:space="preserve">(1) Die nach § 13a Absatz 1 Nummer 2 zugelassenen Prüfstellen und die nach § 13a Absatz 1 Nummer 4 anerkannten Prüfstellen, die jeweils für die Durchführung der nachfolgenden Aufgaben nach der Norm DIN EN ISO/IEC 17020:2012 akkreditiert sein müssen, sind zuständig für</w:t>
      </w:r>
    </w:p>
    <w:p>
      <w:pPr>
        <w:ind w:left="420"/>
      </w:pPr>
      <w:r>
        <w:t xml:space="preserve">1. die Baumusterprüfung von</w:t>
      </w:r>
    </w:p>
    <w:p>
      <w:pPr>
        <w:ind w:left="780"/>
      </w:pPr>
      <w:r>
        <w:t xml:space="preserve">a) ortsbeweglichen Tanks und UN-MEGC nach den Absätzen 6.7.2.18.1, 6.7.3.14.1, 6.7.4.13.1 und 6.7.5.11.1 in Verbindung mit Kapitel 4.2 und den Absätzen 6.7.2.19.9, 6.7.3.15.9, 6.7.4.14.10 und 6.7.5.12.7 ADR/RID,</w:t>
      </w:r>
    </w:p>
    <w:p>
      <w:pPr>
        <w:ind w:left="780"/>
      </w:pPr>
      <w:r>
        <w:t xml:space="preserve">b) festverbundenen Tanks, Aufsetztanks, Batterie-Fahrzeugen, Kesselwagen, abnehmbaren Tanks, Batteriewagen, Tankcontainern, Tankwechselaufbauten (Tankwechselbehältern) und MEGC nach Absatz 6.8.2.3.1 in Verbindung mit Kapitel 4.3 und Kapitel 6.10 in Verbindung mit Kapitel 4.5 ADR/RID und</w:t>
      </w:r>
    </w:p>
    <w:p>
      <w:pPr>
        <w:ind w:left="780"/>
      </w:pPr>
      <w:r>
        <w:t xml:space="preserve">c) ortsbeweglichen Tanks aus faserverstärkten Kunststoffen (FVK-Tanks) nach Absatz 6.9.2.6.1 in Verbindung mit Unterabschnitt 6.7.2.18 ADR/RID und festverbundenen Tanks und Aufsetztanks aus faserverstärkten Kunststoffen (FVK-Tanks) nach Unterabschnitt 6.13.4.1 in Verbindung mit Kapitel 4.4 ADR im Einvernehmen mit der Bundesanstalt für Materialforschung und -prüfung;</w:t>
      </w:r>
    </w:p>
    <w:p>
      <w:pPr>
        <w:ind w:left="420"/>
      </w:pPr>
      <w:r>
        <w:t xml:space="preserve">2. die erstmalige und wiederkehrende Prüfung, Zwischenprüfung und außerordentliche Prüfungen der Tankkörper und der Ausrüstungsteile von</w:t>
      </w:r>
    </w:p>
    <w:p>
      <w:pPr>
        <w:ind w:left="780"/>
      </w:pPr>
      <w:r>
        <w:t xml:space="preserve">a) ortsbeweglichen Tanks und UN-MEGC nach Kapitel 6.7 ADR/RID,</w:t>
      </w:r>
    </w:p>
    <w:p>
      <w:pPr>
        <w:ind w:left="780"/>
      </w:pPr>
      <w:r>
        <w:t xml:space="preserve">b) festverbundenen Tanks, Aufsetztanks, Batterie-Fahrzeugen, Kesselwagen, abnehmbaren Tanks, Batteriewagen, Tankcontainern, Tankwechselaufbauten (Tankwechselbehältern) und MEGC nach Kapitel 6.8 sowie Kapitel 6.8 in Verbindung mit Kapitel 6.10 ADR/RID und</w:t>
      </w:r>
    </w:p>
    <w:p>
      <w:pPr>
        <w:ind w:left="780"/>
      </w:pPr>
      <w:r>
        <w:t xml:space="preserve">c) faserverstärkten Kunststofftanks (FVK-Tanks) nach den Kapiteln 6.9 ADR/RID und 6.13 ADR;</w:t>
      </w:r>
    </w:p>
    <w:p>
      <w:pPr>
        <w:ind w:left="420"/>
      </w:pPr>
      <w:r>
        <w:t xml:space="preserve">3. Aufgaben nach den Absätzen 4.3.3.2.5, 6.7.2.6.3 und 6.7.2.10.1 ADR/RID und Abschnitt 6.8.4 Buchstabe b und d Sondervorschrift TT 7 ADR – jeweils im Einvernehmen mit der Bundesanstalt für Materialforschung und -prüfung – sowie nach Abschnitt 6.8.4 Buchstabe b und d Sondervorschrift TT 7 RID im Einvernehmen mit dem Eisenbahn-Bundesamt, sowie nach den Absätzen 6.7.2.19.10, 6.7.3.15.10, 6.8.3.4.4, 6.8.3.4.7 und 6.8.3.4.8, Abschnitt 6.8.4 Buchstabe b und d Sondervorschrift TT 2 und Absatz 6.8.5.2.2 ADR/RID;</w:t>
      </w:r>
    </w:p>
    <w:p>
      <w:pPr>
        <w:ind w:left="420"/>
      </w:pPr>
      <w:r>
        <w:t xml:space="preserve">4. die Prüfung der elektrischen Ausrüstung für die Bedienungsausrüstung der Tanks nach den Abschnitten 9.2.2 und 9.7.8 ADR vor Inbetriebnahme der Tanks nach Absatz 6.8.2.4.1 ADR und bei der Prüfung der Tanks nach den Absätzen 6.8.2.4.2 und 6.8.2.4.4 ADR sowie für nicht vorgeschriebene informelle Änderungen oder Ergänzungen in Nummer 11 von ADR-Zulassungsbescheinigungen nach Unterabschnitt 9.1.3.1 ADR;</w:t>
      </w:r>
    </w:p>
    <w:p>
      <w:pPr>
        <w:ind w:left="420"/>
      </w:pPr>
      <w:r>
        <w:t xml:space="preserve">5. die Baumusterprüfung und die getrennte Baumusterzulassung von Bedienungsausrüstungen für Tanks nach den Absätzen 6.8.2.3.1 Satz 2 und 6.8.2.3.2 Satz 9, für die in der Tabelle in Absatz 6.8.2.6.1 ADR/RID eine Norm aufgeführt ist;</w:t>
      </w:r>
    </w:p>
    <w:p>
      <w:pPr>
        <w:ind w:left="420"/>
      </w:pPr>
      <w:r>
        <w:t xml:space="preserve">6. die Prüfung der Zulassung einer Änderung nach Absatz 1.8.7.2.2.3 ADR/RID;</w:t>
      </w:r>
    </w:p>
    <w:p>
      <w:pPr>
        <w:ind w:left="420"/>
      </w:pPr>
      <w:r>
        <w:t xml:space="preserve">7. die Bescheinigung über die Zulassung einer Änderung an einer getrennt zugelassenen Bedienungsausrüstung für Tanks nach Absatz 1.8.7.2.2.3 ADR/RID;</w:t>
      </w:r>
    </w:p>
    <w:p>
      <w:pPr>
        <w:ind w:left="420"/>
      </w:pPr>
      <w:r>
        <w:t xml:space="preserve">8. die Bescheinigung über die Zulassung einer Änderung nach Absatz 1.8.7.2.2.3 ADR/RID für Tanks für Gase der Klasse 2, für Batterie-Fahrzeuge und Batteriewagen;</w:t>
      </w:r>
    </w:p>
    <w:p>
      <w:pPr>
        <w:ind w:left="420"/>
      </w:pPr>
      <w:r>
        <w:t xml:space="preserve">9. die Überwachung der Herstellung nach Unterabschnitt 1.8.7.3 ADR/RID;</w:t>
      </w:r>
    </w:p>
    <w:p>
      <w:pPr>
        <w:ind w:left="420"/>
      </w:pPr>
      <w:r>
        <w:t xml:space="preserve">10. die Inbetriebnahmeüberprüfung nach Unterabschnitt 1.8.7.5 ADR/RID und</w:t>
      </w:r>
    </w:p>
    <w:p>
      <w:pPr>
        <w:ind w:left="420"/>
      </w:pPr>
      <w:r>
        <w:t xml:space="preserve">11. die Baumusterprüfung, erstmalige Prüfung, Zwischenprüfung, wiederkehrende Prüfung und außerordentliche Prüfung der Tiegel nach Absatz 7.3.3.2.7 ergänzende Vorschrift AP 11 ADR/RID.</w:t>
      </w:r>
    </w:p>
    <w:p>
      <w:r>
        <w:t xml:space="preserve">Satz 1 Nummer 1 und 2, jeweils Buchstabe b, und Nummer 5, 6 und 7 gilt nicht, sofern diese Aufgaben in den Geltungsbereich der Ortsbewegliche-Druckgeräte-Verordnung fallen.</w:t>
      </w:r>
    </w:p>
    <w:p>
      <w:r>
        <w:t xml:space="preserve">(2) Das Bundesministerium für Digitales und Verkehr richtet einen Erfahrungsaustausch zwischen den zuständigen Stellen nach Absatz 1 und der nationalen Akkreditierungsstelle sowie den Baumusterzulassungsbehörden nach § 8 Absatz 1 Satz 1 Nummer 1 Buchstabe g bis l und § 15 Absatz 1 Nummer 10 ein, an dem die vorgenannten Behörden und Stellen teilnehmen müssen.</w:t>
      </w:r>
    </w:p>
    <w:p>
      <w:r>
        <w:rPr>
          <w:color w:val="555555"/>
          <w:sz w:val="17"/>
        </w:rPr>
        <w:t xml:space="preserve">Zitiervorschlag: § 12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