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GGVSEB — Geltungsbereich</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Diese Verordnung regelt die innerstaatliche und grenzüberschreitende Beförderung einschließlich der Beförderung von und nach Mitgliedstaaten der Europäischen Union (innergemeinschaftliche Beförderung) gefährlicher Güter</w:t>
      </w:r>
    </w:p>
    <w:p>
      <w:pPr>
        <w:ind w:left="420"/>
      </w:pPr>
      <w:r>
        <w:t xml:space="preserve">1. auf der Straße mit Fahrzeugen (Straßenverkehr),</w:t>
      </w:r>
    </w:p>
    <w:p>
      <w:pPr>
        <w:ind w:left="420"/>
      </w:pPr>
      <w:r>
        <w:t xml:space="preserve">2. auf der Schiene mit Eisenbahnen (Eisenbahnverkehr) und</w:t>
      </w:r>
    </w:p>
    <w:p>
      <w:pPr>
        <w:ind w:left="420"/>
      </w:pPr>
      <w:r>
        <w:t xml:space="preserve">3. auf allen schiffbaren Binnengewässern (Binnenschifffahrt)</w:t>
      </w:r>
    </w:p>
    <w:p>
      <w:r>
        <w:t xml:space="preserve">in Deutschland, soweit nachfolgend nichts Abweichendes bestimmt ist. Sie regelt nicht die Beförderung gefährlicher Güter mit Seeschiffen auf Seeschifffahrtsstraßen und in angrenzenden Seehäfen.</w:t>
      </w:r>
    </w:p>
    <w:p>
      <w:r>
        <w:t xml:space="preserve">(2) Diese Verordnung gilt hinsichtlich der</w:t>
      </w:r>
    </w:p>
    <w:p>
      <w:pPr>
        <w:ind w:left="420"/>
      </w:pPr>
      <w:r>
        <w:t xml:space="preserve">1. in Absatz 1 Satz 1 Nummer 1 und 2 genannten Beförderungen auch für Fahrzeuge und Transportmittel, die der Bundeswehr und ausländischen Streitkräften gehören oder für die die Bundeswehr und ausländische Streitkräfte verantwortlich sind, und</w:t>
      </w:r>
    </w:p>
    <w:p>
      <w:pPr>
        <w:ind w:left="420"/>
      </w:pPr>
      <w:r>
        <w:t xml:space="preserve">2. in Absatz 1 Satz 1 Nummer 3 genannten Beförderungen nicht für die Beförderung gefährlicher Güter auf Fahrzeugen der Streitkräfte einschließlich aller Fahrzeuge im Geschäftsbereich des Bundesministeriums der Verteidigung, soweit dies die Aufgaben der Bundeswehr erfordern.</w:t>
      </w:r>
    </w:p>
    <w:p>
      <w:r>
        <w:t xml:space="preserve">(3) Es gelten für die in Absatz 1 Satz 1</w:t>
      </w:r>
    </w:p>
    <w:p>
      <w:pPr>
        <w:ind w:left="420"/>
      </w:pPr>
      <w:r>
        <w:t xml:space="preserve">1. Nummer 1 genannten</w:t>
      </w:r>
    </w:p>
    <w:p>
      <w:pPr>
        <w:ind w:left="780"/>
      </w:pPr>
      <w:r>
        <w:t xml:space="preserve">a) innerstaatlichen Beförderungen auf der Straße die Vorschriften der Teile 1 bis 9 der Anlagen A und B zu dem Übereinkommen vom 30. September 1957 über die internationale Beförderung gefährlicher Güter auf der Straße (ADR) in der Fassung der Bekanntmachung der Anlagen A und B vom 16. November 2021 (BGBl. 2021 II S. 1184, Anlagenband), die zuletzt durch die 30. ADR-Änderungsverordnung vom 19. Februar 2025 (BGBl. 2025 II Nr. 57) geändert worden sind, sowie die Vorschriften der Anlage 2 Nummer 2 und 3 und Anlage 3,</w:t>
      </w:r>
    </w:p>
    <w:p>
      <w:pPr>
        <w:ind w:left="780"/>
      </w:pPr>
      <w:r>
        <w:t xml:space="preserve">b) grenzüberschreitenden einschließlich innergemeinschaftlichen Beförderungen auf der Straße die Vorschriften der Teile 1 bis 9 zu dem in Buchstabe a genannten ADR-Übereinkommen sowie die Vorschriften der Anlage 3,</w:t>
      </w:r>
    </w:p>
    <w:p>
      <w:pPr>
        <w:ind w:left="420"/>
      </w:pPr>
      <w:r>
        <w:t xml:space="preserve">2. Nummer 2 genannten</w:t>
      </w:r>
    </w:p>
    <w:p>
      <w:pPr>
        <w:ind w:left="780"/>
      </w:pPr>
      <w:r>
        <w:t xml:space="preserve">a) innerstaatlichen Beförderungen mit Eisenbahnen die Vorschriften der Teile 1 bis 7 der Anlage der Ordnung für die internationale Eisenbahnbeförderung gefährlicher Güter (RID) – Anhang C des Übereinkommens über den internationalen Eisenbahnverkehr (COTIF) vom 9. Mai 1980 in der Fassung der Bekanntmachung vom 28. März 2024 (BGBl. 2024 II Nr. 145, Anlagenband), die zuletzt durch die 24. RID-Änderungsverordnung vom 24. April 2025 (BGBl. 2025 II Nr. 144) geändert worden ist, sowie die Vorschriften der Anlage 2 Nummer 2 und 4 und Anlage 3,</w:t>
      </w:r>
    </w:p>
    <w:p>
      <w:pPr>
        <w:ind w:left="780"/>
      </w:pPr>
      <w:r>
        <w:t xml:space="preserve">b) grenzüberschreitenden einschließlich innergemeinschaftlichen Beförderungen mit Eisenbahnen die Vorschriften der Teile 1 bis 7 RID sowie die Vorschriften der Anlage 3 und</w:t>
      </w:r>
    </w:p>
    <w:p>
      <w:pPr>
        <w:ind w:left="420"/>
      </w:pPr>
      <w:r>
        <w:t xml:space="preserve">3. Nummer 3 genannten</w:t>
      </w:r>
    </w:p>
    <w:p>
      <w:pPr>
        <w:ind w:left="780"/>
      </w:pPr>
      <w:r>
        <w:t xml:space="preserve">a) Beförderungen auf allen schiffbaren Binnengewässern die Vorschriften der Teile 1 bis 9 der Anlage zu dem Europäischen Übereinkommen vom 26. Mai 2000 über die internationale Beförderung von gefährlichen Gütern auf Binnenwasserstraßen (ADN) in der Fassung der Bekanntmachung vom 10. November 2021 (BGBl. 2021 II S. 1150, Anlagenband; 2022 II S. 436), die zuletzt durch die 10. ADN-Änderungsverordnung vom 24. April 2025 (BGBl. 2025 II Nr. 143) geändert worden ist, sowie die Vorschriften der Anlage 2 Nummer 5,</w:t>
      </w:r>
    </w:p>
    <w:p>
      <w:pPr>
        <w:ind w:left="780"/>
      </w:pPr>
      <w:r>
        <w:t xml:space="preserve">b) Beförderungen auf dem Rhein zusätzlich die von der Zentralkommission für die Rheinschifffahrt am 3. Dezember 2009 beschlossenen Bestimmungen in Anlage 2 Nummer 6.</w:t>
      </w:r>
    </w:p>
    <w:p>
      <w:r>
        <w:t xml:space="preserve">(4) Für die Anwendung der Teile 1 bis 9 ADR/ADN und der Teile 1 bis 7 RID gilt für innerstaatliche und innergemeinschaftliche Beförderungen anstelle des Begriffes „Vertragspartei“ jeweils der Begriff „Mitgliedstaat“.</w:t>
      </w:r>
    </w:p>
    <w:p>
      <w:r>
        <w:t xml:space="preserve">(5) Die in dieser Verordnung für die Teile 4 und 6 ADR/RID getroffenen Regelungen sind nach Maßgabe der Abschnitte 4.1.1 bis 4.1.4 und 6.1.1 bis 6.1.6 ADN auch für die Binnenschifffahrt anzuwenden.</w:t>
      </w:r>
    </w:p>
    <w:p>
      <w:r>
        <w:rPr>
          <w:color w:val="555555"/>
          <w:sz w:val="17"/>
        </w:rPr>
        <w:t xml:space="preserve">Zitiervorschlag: § 1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