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GGV — Überleitungsvorschrift</w:t>
      </w:r>
    </w:p>
    <w:p>
      <w:r>
        <w:rPr>
          <w:color w:val="555555"/>
          <w:sz w:val="18"/>
        </w:rPr>
        <w:t xml:space="preserve">Gebäudegrundbuchverfügung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werden aufgehoben:</w:t>
      </w:r>
    </w:p>
    <w:p>
      <w:pPr>
        <w:ind w:left="420"/>
      </w:pPr>
      <w:r>
        <w:t xml:space="preserve">1. § 4 Abs. 3 des Gesetzes über die Verleihung von Nutzungsrechten an volkseigenen Grundstücken vom 4. Dezember 1970 (GBl. I Nr. 24 S. 372),</w:t>
      </w:r>
    </w:p>
    <w:p>
      <w:pPr>
        <w:ind w:left="420"/>
      </w:pPr>
      <w:r>
        <w:t xml:space="preserve">2. § 10 Abs. 1 der Verordnung über die Sicherung des Volkseigentums bei Baumaßnahmen von Betrieben auf vertraglich genutzten nichtvolkseigenen Grundstücken vom 7. April 1983 (GBl. I Nr. 12 S. 129),</w:t>
      </w:r>
    </w:p>
    <w:p>
      <w:pPr>
        <w:ind w:left="420"/>
      </w:pPr>
      <w:r>
        <w:t xml:space="preserve">3. Nummer 9 Abs. 3 Buchstabe a, Nummer 12 Abs. 2 Buchstabe a, Nummer 18 Abs. 2, Nummer 40 und Nummer 75 Abs. 3 sowie Anlage 16 der Anweisung Nr. 4/87 des Ministers des Innern und Chefs der Deutschen Volkspolizei über Grundbuch und Grundbuchverfahren unter Colidobedingungen - Colido-Grundbuchanweisung - vom 27. Oktober 1987.</w:t>
      </w:r>
    </w:p>
    <w:p>
      <w:r>
        <w:t xml:space="preserve">Nach diesen Vorschriften eingetragene Vermerke über die Anlegung eines Gebäudegrundbuchblattes sind bei der nächsten anstehenden Eintragung in das Grundbuchblatt für das Grundstück oder für das Gebäudeeigentum an die Vorschriften des § 5 Abs. 2 und 3, § 6, § 9 Abs. 3 und § 12 anzupassen.</w:t>
      </w:r>
    </w:p>
    <w:p>
      <w:r>
        <w:t xml:space="preserve">(2) § 4 Abs. 1 gilt nicht für Gebäudegrundbuchblätter, die vor dem Inkrafttreten dieser Verordnung angelegt worden sind oder für die der Antrag auf Anlegung vor diesem Zeitpunkt bei dem Grundbuchamt eingegangen ist.</w:t>
      </w:r>
    </w:p>
    <w:p>
      <w:r>
        <w:t xml:space="preserve">(3) § 14 Abs. 2 und 3 gilt nur für Eintragungen, die nach Inkrafttreten dieser Verordnung beantragt worden sind.</w:t>
      </w:r>
    </w:p>
    <w:p>
      <w:r>
        <w:rPr>
          <w:color w:val="555555"/>
          <w:sz w:val="17"/>
        </w:rPr>
        <w:t xml:space="preserve">Zitiervorschlag: § 15 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