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13 GGV — Bekanntmachungen</w:t>
      </w:r>
    </w:p>
    <w:p>
      <w:r>
        <w:rPr>
          <w:color w:val="555555"/>
          <w:sz w:val="18"/>
        </w:rPr>
        <w:t xml:space="preserve">Gebäudegrundbuchverfügung</w:t>
      </w:r>
    </w:p>
    <w:p>
      <w:r>
        <w:rPr>
          <w:color w:val="555555"/>
          <w:sz w:val="18"/>
        </w:rPr>
        <w:t xml:space="preserve">Stand: 10.06.2019 (konsolidierte Textfassung, kein amtliches Inkrafttretensdatum)</w:t>
      </w:r>
    </w:p>
    <w:p>
      <w:r>
        <w:t xml:space="preserve">Auf die Bekanntmachungen bei Eintragungen im Grundbuch des mit einem dinglichen Nutzungsrecht belasteten oder von einem Gebäudeeigentum betroffenen Grundstücks oder Flurstücks sowie bei Eintragungen im Gebäudegrundbuchblatt ist § 17 des Erbbaurechtsgesetzes sinngemäß anzuwenden. Bei Eintragungen im Gebäudegrundbuchblatt sind Bekanntmachungen gegenüber dem Eigentümer des belasteten oder betroffenen Grundstücks jedoch nur dann vorzunehmen, wenn das Recht dort eingetragen ist oder gleichzeitig eingetragen wird und der Eigentümer bekannt ist.</w:t>
      </w:r>
    </w:p>
    <w:p>
      <w:r>
        <w:rPr>
          <w:color w:val="555555"/>
          <w:sz w:val="17"/>
        </w:rPr>
        <w:t xml:space="preserve">Zitiervorschlag: § 13 GGV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https://recht.nulegal.eu/gesetze/GGV/13</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