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GGV — Widerspruch</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In den Fällen der §§ 3, 5 und 6 hat das Grundbuchamt gleichzeitig mit der jeweiligen Eintragung einen Widerspruch gegen die Richtigkeit dieser Eintragung nach Maßgabe der Absätze 2 bis 5 von Amts wegen zugunsten des Eigentümers des zu belastenden oder betroffenen Grundstücks einzutragen, sofern nicht dieser die jeweilige Eintragung bewilligt hat oder ein Vermerk über die Eröffnung eines Vermittlungsverfahrens nach dem in Artikel 233 § 3 Abs. 2 des Einführungsgesetzes zum Bürgerlichen Gesetzbuche genannten Gesetz (Sachenrechtsbereinigungsgesetz) in das Grundbuch des belasteten oder betroffenen Grundstücks eingetragen ist oder gleichzeitig eingetragen wird.</w:t>
      </w:r>
    </w:p>
    <w:p>
      <w:r>
        <w:t xml:space="preserve">(2) Die Eintragung des Widerspruchs nach Absatz 1 erfolgt</w:t>
      </w:r>
    </w:p>
    <w:p>
      <w:pPr>
        <w:ind w:left="420"/>
      </w:pPr>
      <w:r>
        <w:t xml:space="preserve">1. in den Fällen des § 3 in der Spalte 3 der zweiten Abteilung des Gebäudegrundbuchblattes; dabei ist in der Spalte 1 die laufende Nummer der Eintragung anzugeben;</w:t>
      </w:r>
    </w:p>
    <w:p>
      <w:pPr>
        <w:ind w:left="420"/>
      </w:pPr>
      <w:r>
        <w:t xml:space="preserve">2. in den Fällen der §§ 5 und 6 in der Spalte 5 der zweiten Abteilung des Grundbuchblattes für das Grundstück; dabei ist in der Spalte 4 die laufende Nummer anzugeben, unter der die betroffene Eintragung in der Spalte 1 vermerkt ist.</w:t>
      </w:r>
    </w:p>
    <w:p>
      <w:r>
        <w:t xml:space="preserve">(3) Der Widerspruch wird nach Ablauf von vierzehn Monaten seit seiner Eintragung gegenstandslos, es sei denn, daß vorher ein notarielles Vermittlungsverfahren eingeleitet oder eine Klage auf Grund des Sachenrechtsbereinigungsgesetzes oder eine Klage auf Aufhebung des Nutzungsrechts erhoben und dies bis zu dem genannten Zeitpunkt dem Grundbuchamt in der Form des § 29 der Grundbuchordnung nachgewiesen wird.</w:t>
      </w:r>
    </w:p>
    <w:p>
      <w:r>
        <w:t xml:space="preserve">(4) Ein nach Absatz 3 gegenstandsloser Widerspruch kann von Amts wegen gelöscht werden; er ist von Amts wegen bei der nächsten anstehenden Eintragung im Grundbuchblatt für das Grundstück oder Gebäude oder bei Eintragung des in Absatz 1 Halbsatz 2 genannten Vermerks zu löschen.</w:t>
      </w:r>
    </w:p>
    <w:p>
      <w:r>
        <w:t xml:space="preserve">(5) Ein Widerspruch nach den vorstehenden Absätzen wird nicht eingetragen, wenn</w:t>
      </w:r>
    </w:p>
    <w:p>
      <w:pPr>
        <w:ind w:left="420"/>
      </w:pPr>
      <w:r>
        <w:t xml:space="preserve">1. der Antrag auf Eintragung nach Absatz 1 nach dem 31. Dezember 1996 bei dem Grundbuchamt eingeht oder</w:t>
      </w:r>
    </w:p>
    <w:p>
      <w:pPr>
        <w:ind w:left="420"/>
      </w:pPr>
      <w:r>
        <w:t xml:space="preserve">2. der Antragsteller eine mit Siegel oder Stempel versehene und unterschriebene Nutzungsbescheinigung vorlegt oder</w:t>
      </w:r>
    </w:p>
    <w:p>
      <w:pPr>
        <w:ind w:left="420"/>
      </w:pPr>
      <w:r>
        <w:t xml:space="preserve">3. sich eine Nutzungsbescheinigung nach Nummer 2 bereits bei der Grundakte befindet.</w:t>
      </w:r>
    </w:p>
    <w:p>
      <w:r>
        <w:t xml:space="preserve">Die Nutzungsbescheinigung wird von der Gemeinde, in deren Gebiet das Grundstück belegen ist, erteilt, wenn das Gebäude vom 20. Juli 1993 bis zum 1. Oktober 1994 von dem Antragsteller selbst, seinem Rechtsvorgänger oder auf Grund eines Vertrages mit einem von beiden durch einen Mieter oder Pächter genutzt wird. In den Fällen des Satzes 1 Nr. 2 und 3 wird der Widerspruch nach Absatz 1 auf Antrag des Grundstückseigentümers eingetragen, wenn dieser Antrag bis zum Ablauf des 31. Dezember 1996 bei dem Grundbuchamt eingegangen ist. Der Widerspruch wird in diesem Fall nach Ablauf von 3 Monaten gegenstandslos, es sei denn, daß vorher ein notarielles Vermittlungsverfahren eingeleitet oder eine Klage auf Grund des Sachenrechtsbereinigungsgesetzes oder eine Klage auf Aufhebung des Nutzungsrechts erhoben und dies bis zu dem genannten Zeitpunkt dem Grundbuchamt in der Form des § 29 der Grundbuchordnung nachgewiesen wird. Absatz 4 gilt entsprechend.</w:t>
      </w:r>
    </w:p>
    <w:p>
      <w:r>
        <w:rPr>
          <w:color w:val="555555"/>
          <w:sz w:val="17"/>
        </w:rPr>
        <w:t xml:space="preserve">Zitiervorschlag: § 11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