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GGV — Nutzungsrecht, Gebäudeeigentum oder Recht zum Besitz auf nicht bestimmten Grundstücken oder Grundstücksteilen</w:t>
      </w:r>
    </w:p>
    <w:p>
      <w:r>
        <w:rPr>
          <w:color w:val="555555"/>
          <w:sz w:val="18"/>
        </w:rPr>
        <w:t xml:space="preserve">Gebäudegrundbuchverfügung</w:t>
      </w:r>
    </w:p>
    <w:p>
      <w:r>
        <w:rPr>
          <w:color w:val="555555"/>
          <w:sz w:val="18"/>
        </w:rPr>
        <w:t xml:space="preserve">Stand: 10.06.2019 (konsolidierte Textfassung, kein amtliches Inkrafttretensdatum)</w:t>
      </w:r>
    </w:p>
    <w:p>
      <w:r>
        <w:t xml:space="preserve">(1) Besteht ein dingliches Nutzungsrecht, ein Gebäudeeigentum oder ein Recht zum Besitz an einem oder mehreren nicht grundbuchmäßig bestimmten Grundstücken oder an Teilen hiervon, so fordert das Grundbuchamt den Inhaber des Rechts auf, den räumlichen Umfang seines Rechts auf den betroffenen Grundstücken durch Vorlage eines Auszugs aus dem beschreibenden Teil des amtlichen Verzeichnisses oder einer anderen Beschreibung nachzuweisen, die nach den gesetzlichen Vorschriften das Liegenschaftskataster als amtliches Verzeichnis der Grundstücke ersetzt.</w:t>
      </w:r>
    </w:p>
    <w:p>
      <w:r>
        <w:t xml:space="preserve">(2) Soweit die in Absatz 1 genannten Nachweise nicht vorgelegt werden können und der Berechtigte dies gegenüber dem Grundbuchamt versichert, genügen andere amtliche Unterlagen, sofern aus ihnen die grundbuchmäßige Bezeichnung der belasteten oder betroffenen Grundstücke hervorgeht oder bestimmt werden kann; diese Unterlagen und die Versicherung bedürfen nicht der in § 29 der Grundbuchordnung bestimmten Form. Ausreichend ist auch die Bestätigung der für die Führung des Liegenschaftskatasters zuständigen Stelle oder eines öffentlich bestellten Vermessungsingenieurs, aus der sich ergibt, auf welchem oder welchen Grundstücken oder Flurstücken das dingliche Nutzungsrecht, das Gebäudeeigentum oder das Recht zum Besitz lastet. Vervielfältigungen dieser anderen amtlichen Unterlagen sowie dieser Bestätigungen hat das Grundbuchamt der für die Führung des amtlichen Verzeichnisses zuständigen Stelle zur Verfügung zu stellen.</w:t>
      </w:r>
    </w:p>
    <w:p>
      <w:r>
        <w:rPr>
          <w:color w:val="555555"/>
          <w:sz w:val="17"/>
        </w:rPr>
        <w:t xml:space="preserve">Zitiervorschlag: § 10 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