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GGV — Anwendungsbereich</w:t>
      </w:r>
    </w:p>
    <w:p>
      <w:r>
        <w:rPr>
          <w:color w:val="555555"/>
          <w:sz w:val="18"/>
        </w:rPr>
        <w:t xml:space="preserve">Gebäudegrundbuchverfügung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Anlegung und Führung von Gebäudegrundbuchblättern für Gebäudeeigentum nach Artikel 231 § 5 und Artikel 233 §§ 2b, 4 und 8 des Einführungsgesetzes zum Bürgerlichen Gesetzbuche,</w:t>
      </w:r>
    </w:p>
    <w:p>
      <w:pPr>
        <w:ind w:left="420"/>
      </w:pPr>
      <w:r>
        <w:t xml:space="preserve">2. die Eintragung</w:t>
      </w:r>
    </w:p>
    <w:p>
      <w:pPr>
        <w:ind w:left="780"/>
      </w:pPr>
      <w:r>
        <w:t xml:space="preserve">a) eines Nutzungsrechts,</w:t>
      </w:r>
    </w:p>
    <w:p>
      <w:pPr>
        <w:ind w:left="780"/>
      </w:pPr>
      <w:r>
        <w:t xml:space="preserve">b) eines Gebäudeeigentums ohne Nutzungsrecht und</w:t>
      </w:r>
    </w:p>
    <w:p>
      <w:pPr>
        <w:ind w:left="780"/>
      </w:pPr>
      <w:r>
        <w:t xml:space="preserve">c) eines Vermerks zur Sicherung der Ansprüche aus der Sachenrechtsbereinigung aus dem Recht zum Besitz gemäß Artikel 233 § 2a des Einführungsgesetzes zum Bürgerlichen Gesetzbuche</w:t>
      </w:r>
    </w:p>
    <w:p>
      <w:pPr>
        <w:ind w:left="420"/>
      </w:pPr>
      <w:r>
        <w:t xml:space="preserve">in das Grundbuchblatt des betroffenen Grundstücks.</w:t>
      </w:r>
    </w:p>
    <w:p>
      <w:r>
        <w:rPr>
          <w:color w:val="555555"/>
          <w:sz w:val="17"/>
        </w:rPr>
        <w:t xml:space="preserve">Zitiervorschlag: § 1 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