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GGKontrollV</w:t>
      </w:r>
    </w:p>
    <w:p>
      <w:r>
        <w:rPr>
          <w:color w:val="555555"/>
          <w:sz w:val="18"/>
        </w:rPr>
        <w:t xml:space="preserve">Verordnung über die Kontrollen von Gefahrguttransporten auf der Straße und in den Unternehmen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Anlage 2 GGKontrollV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https://recht.nulegal.eu/gesetze/GGKontrollV/anlage-2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