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GGKontrollV — Kontrollen auf der Straße</w:t>
      </w:r>
    </w:p>
    <w:p>
      <w:r>
        <w:rPr>
          <w:color w:val="555555"/>
          <w:sz w:val="18"/>
        </w:rPr>
        <w:t xml:space="preserve">Verordnung über die Kontrollen von Gefahrguttransporten auf der Straße und in den Unternehmen</w:t>
      </w:r>
    </w:p>
    <w:p>
      <w:r>
        <w:rPr>
          <w:color w:val="555555"/>
          <w:sz w:val="18"/>
        </w:rPr>
        <w:t xml:space="preserve">Stand: 09.03.2023 (konsolidierte Textfassung, kein amtliches Inkrafttretensdatum)</w:t>
      </w:r>
    </w:p>
    <w:p>
      <w:r>
        <w:t xml:space="preserve">(1) Die oberste Landesbehörde oder die von ihr bestimmte oder nach Landesrecht zuständige Stelle stellt sicher, dass in ihrem Gebiet ein repräsentativer Anteil der Gefahrguttransporte auf der Straße den in dieser Verordnung vorgesehenen Kontrollen unterzogen wird, um zu überprüfen, ob die Vorschriften für die Beförderung gefährlicher Güter auf der Straße eingehalten werden. Diese Kontrollen werden in Ausführung von Artikel 3 der Verordnung (EWG) Nr. 4060/89 und Artikel 1 der Verordnung (EWG) Nr. 3912/92 durchgeführt. Das Bundesamt für Logistik und Mobilität kontrolliert im Rahmen seiner Zuständigkeit nach dem Güterkraftverkehrsgesetz Gefahrguttransporte auf der Straße in angemessenem Umfang.</w:t>
      </w:r>
    </w:p>
    <w:p>
      <w:r>
        <w:t xml:space="preserve">(2) Bei der Festlegung des repräsentativen Anteils der Gefahrguttransporte im Sinne des Absatzes 1 Satz 1 ist der Anteil der im jeweiligen Land zugelassenen Lastkraftwagen, Zugmaschinen und Sattelzugmaschinen am Gesamtbestand der genannten Kraftfahrzeuge in Deutschland zu berücksichtigen. Die Zahlen über Gefahrgutbeförderungen und Fahrzeugbestände werden jährlich zum 30. Juni für das vorangegangene Jahr durch das Bundesamt für Logistik und Mobilität in Abstimmung mit dem Kraftfahrt-Bundesamt zur Verfügung gestellt.</w:t>
      </w:r>
    </w:p>
    <w:p>
      <w:r>
        <w:t xml:space="preserve">(3) Die nach Landesrecht für die Überwachung zuständigen Behörden und das Bundesamt für Logistik und Mobilität orientieren sich bei der Durchführung von Kontrollmaßnahmen, die der Umsetzung der Richtlinie 95/50/EG dienen, an der Prüfliste nach Anlage 1. Über das Ergebnis der Kontrolle händigt der Prüfer dem Fahrzeugführer eine geeignete Kontrollbescheinigung aus.</w:t>
      </w:r>
    </w:p>
    <w:p>
      <w:r>
        <w:t xml:space="preserve">(4) Die Kontrollen nach den Absätzen 1 bis 3 sind im Stichprobenverfahren möglichst auf einem ausgedehnten Teil des Straßennetzes durchzuführen. Sie sind möglichst an Orten durchzuführen, an denen Fahrzeuge, bei denen Verstöße festgestellt wurden, in einen vorschriftsmäßigen Zustand versetzt oder - wenn die Behörde es für angebracht hält - an Ort und Stelle oder an einem von dieser Behörde bezeichneten Platz abgestellt werden können, ohne dass dadurch ein Sicherheitsrisiko entsteht.</w:t>
      </w:r>
    </w:p>
    <w:p>
      <w:r>
        <w:t xml:space="preserve">(5) Dem Transportgut können Proben entnommen werden, um sie von behördlichen oder von behördlich anerkannten Prüfstellen untersuchen zu lassen. Bei der Entnahme von Proben sind die besonderen Gefahren der gefährlichen Stoffe und Gegenstände in den einzelnen Klassen zu berücksichtigen.</w:t>
      </w:r>
    </w:p>
    <w:p>
      <w:r>
        <w:t xml:space="preserve">(6) Die Kontrollen sollen eine angemessene Zeitdauer nicht überschreiten.</w:t>
      </w:r>
    </w:p>
    <w:p>
      <w:r>
        <w:t xml:space="preserve">(7) Bei Gefahrguttransporten, bei denen ein Verstoß gegen die Vorschriften für die Beförderung gefährlicher Güter, insbesondere einer der in Anlage 3 genannten Verstöße, festgestellt wurden, können alle erforderlichen Maßnahmen zum Schutz gegen die von der Beförderung gefährlicher Güter ausgehenden Gefahren getroffen werden; hierzu gehören insbesondere die Verweigerung der Einfahrt in die Europäische Gemeinschaft und das Abstellen des Fahrzeugs an Ort und Stelle oder auf einem hierfür geeigneten Platz.</w:t>
      </w:r>
    </w:p>
    <w:p>
      <w:r>
        <w:rPr>
          <w:color w:val="555555"/>
          <w:sz w:val="17"/>
        </w:rPr>
        <w:t xml:space="preserve">Zitiervorschlag: § 3 GGKontrollV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https://recht.nulegal.eu/gesetze/GGKontrollV/3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