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GGKontrollV — Begriffsbestimmungen</w:t>
      </w:r>
    </w:p>
    <w:p>
      <w:r>
        <w:rPr>
          <w:color w:val="555555"/>
          <w:sz w:val="18"/>
        </w:rPr>
        <w:t xml:space="preserve">Verordnung über die Kontrollen von Gefahrguttransporten auf der Straße und in den Unternehmen</w:t>
      </w:r>
    </w:p>
    <w:p>
      <w:r>
        <w:rPr>
          <w:color w:val="555555"/>
          <w:sz w:val="18"/>
        </w:rPr>
        <w:t xml:space="preserve">Stand: 10.06.2019 (konsolidierte Textfassung, kein amtliches Inkrafttretensdatum)</w:t>
      </w:r>
    </w:p>
    <w:p>
      <w:r>
        <w:t xml:space="preserve">Im Sinne dieser Verordnung bezeichnet der Begriff</w:t>
      </w:r>
    </w:p>
    <w:p>
      <w:pPr>
        <w:ind w:left="420"/>
      </w:pPr>
      <w:r>
        <w:t xml:space="preserve">1. "Fahrzeug": alle zur Teilnahme am Straßenverkehr bestimmten Kraftfahrzeuge und ihre Anhänger;</w:t>
      </w:r>
    </w:p>
    <w:p>
      <w:pPr>
        <w:ind w:left="420"/>
      </w:pPr>
      <w:r>
        <w:t xml:space="preserve">2. "gefährliche Güter": die Güter, die in der Richtlinie 94/55/EG des Rates vom 21. November 1994 zur Angleichung der Rechtsvorschriften der Mitgliedstaaten für den Gefahrguttransport auf der Straße (ABl. EG Nr. L 319 S. 7) als gefährlich eingestuft sind;</w:t>
      </w:r>
    </w:p>
    <w:p>
      <w:pPr>
        <w:ind w:left="420"/>
      </w:pPr>
      <w:r>
        <w:t xml:space="preserve">3. "Beförderung": jeden Transport, der auf den öffentlichen Straßen in Deutschland mit einem Fahrzeug erfolgt, einschließlich der in der Richtlinie 94/55/EG des Rates vom 21. November 1994 zur Angleichung der Rechtsvorschriften der Mitgliedstaaten für den Gefahrguttransport auf der Straße erfassten Tätigkeiten des Ein- und Ausladens der Güter, und zwar unbeschadet der in den Rechtsvorschriften der Mitgliedstaaten hinsichtlich dieser Tätigkeiten vorgesehenen Regelungen über die Verantwortlichkeiten;</w:t>
      </w:r>
    </w:p>
    <w:p>
      <w:pPr>
        <w:ind w:left="420"/>
      </w:pPr>
      <w:r>
        <w:t xml:space="preserve">4. "Unternehmen": jede natürliche und juristische Person mit oder ohne Erwerbszweck, jede Vereinigung oder jeder Zusammenschluss von Personen mit oder ohne Rechtspersönlichkeit oder mit oder ohne Erwerbszweck sowie jede staatliche Einrichtung, unabhängig davon, ob sie über eine eigene Rechtspersönlichkeit verfügt oder von einer Behörde mit Rechtspersönlichkeit abhängt, die gefährliche Güter befördert - einschließlich des zeitweiligen Aufenthalts im Verlaufe der Beförderung -, lädt, entlädt oder befördern lässt, sowie eine solche, die gefährliche Güter im Zusammenhang mit einer Beförderungstätigkeit verpackt, sammelt oder in Empfang nimmt, sofern sie ihren Sitz im Gebiet der Gemeinschaft hat;</w:t>
      </w:r>
    </w:p>
    <w:p>
      <w:pPr>
        <w:ind w:left="420"/>
      </w:pPr>
      <w:r>
        <w:t xml:space="preserve">5. "Kontrolle": jede Überwachung, Prüfung oder Untersuchung, die aus Sicherheitsgründen auf der Straße oder in den Unternehmen im Zusammenhang mit der Beförderung gefährlicher Güter von den zuständigen Behörden durchgeführt wird.</w:t>
      </w:r>
    </w:p>
    <w:p>
      <w:r>
        <w:rPr>
          <w:color w:val="555555"/>
          <w:sz w:val="17"/>
        </w:rPr>
        <w:t xml:space="preserve">Zitiervorschlag: § 2 GGKontrollV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https://recht.nulegal.eu/gesetze/GGKontrollV/2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