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GGArt91cVtr — Informationsaustausch</w:t>
      </w:r>
    </w:p>
    <w:p>
      <w:r>
        <w:rPr>
          <w:color w:val="555555"/>
          <w:sz w:val="18"/>
        </w:rPr>
        <w:t xml:space="preserve">IT-Staatsvertrag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Bund und die Länder informieren sich möglichst frühzeitig über beabsichtigte Vorhaben zur Einrichtung und Entwicklung informationstechnischer Systeme, um eine bedarfsgerechte Zusammenarbeit zu ermöglichen.</w:t>
      </w:r>
    </w:p>
    <w:p>
      <w:r>
        <w:rPr>
          <w:color w:val="555555"/>
          <w:sz w:val="17"/>
        </w:rPr>
        <w:t xml:space="preserve">Zitiervorschlag: § 4 GGArt91cVtr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https://recht.nulegal.eu/gesetze/GGArt91cVtr/4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