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GGArt45cG</w:t>
      </w:r>
    </w:p>
    <w:p>
      <w:r>
        <w:rPr>
          <w:color w:val="555555"/>
          <w:sz w:val="18"/>
        </w:rPr>
        <w:t xml:space="preserve">Gesetz nach Artikel 45c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Petitionsausschuß ist berechtigt, den Petenten, Zeugen und Sachverständige anzuhören.</w:t>
      </w:r>
    </w:p>
    <w:p>
      <w:r>
        <w:rPr>
          <w:color w:val="555555"/>
          <w:sz w:val="17"/>
        </w:rPr>
        <w:t xml:space="preserve">Zitiervorschlag: § 4 GGArt45cG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https://recht.nulegal.eu/gesetze/GGArt45cG/4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GGArt45cG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