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GGArt45cG</w:t>
      </w:r>
    </w:p>
    <w:p>
      <w:r>
        <w:rPr>
          <w:color w:val="555555"/>
          <w:sz w:val="18"/>
        </w:rPr>
        <w:t xml:space="preserve">Gesetz nach Artikel 45c des Grundgesetzes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Aktenvorlage, Auskunft sowie der Zutritt zu Einrichtungen dürfen nur verweigert werden, wenn der Vorgang nach einem Gesetz geheimgehalten werden muß oder sonstige zwingende Geheimhaltungsgründe bestehen.</w:t>
      </w:r>
    </w:p>
    <w:p>
      <w:r>
        <w:t xml:space="preserve">(2) Über die Verweigerung entscheidet die zuständige oberste Aufsichtsbehörde des Bundes. Die Entscheidung ist zu begründen.</w:t>
      </w:r>
    </w:p>
    <w:p>
      <w:r>
        <w:rPr>
          <w:color w:val="555555"/>
          <w:sz w:val="17"/>
        </w:rPr>
        <w:t xml:space="preserve">Zitiervorschlag: § 3 GGArt45cG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https://recht.nulegal.eu/gesetze/GGArt45cG/3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