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GGArt45cG</w:t>
      </w:r>
    </w:p>
    <w:p>
      <w:r>
        <w:rPr>
          <w:color w:val="555555"/>
          <w:sz w:val="18"/>
        </w:rPr>
        <w:t xml:space="preserve">Gesetz nach Artikel 45c des Grundgesetzes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die bundesunmittelbaren Körperschaften, Anstalten und Stiftungen des öffentlichen Rechts gilt § 1 entsprechend in dem Umfang, in dem sie der Aufsicht der Bundesregierung unterstehen.</w:t>
      </w:r>
    </w:p>
    <w:p>
      <w:r>
        <w:rPr>
          <w:color w:val="555555"/>
          <w:sz w:val="17"/>
        </w:rPr>
        <w:t xml:space="preserve">Zitiervorschlag: § 2 GGArt45cG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https://recht.nulegal.eu/gesetze/GGArt45cG/2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