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GGArt29Abs7G</w:t>
      </w:r>
    </w:p>
    <w:p>
      <w:r>
        <w:rPr>
          <w:color w:val="555555"/>
          <w:sz w:val="18"/>
        </w:rPr>
        <w:t xml:space="preserve">Gesetz über das Verfahren bei sonstigen Änderungen des Gebietsbestandes der Länder nach Artikel 29 Abs. 7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ersten Tage des auf die Verkündung folgenden Kalendermonats in Kraft.</w:t>
      </w:r>
    </w:p>
    <w:p>
      <w:r>
        <w:t xml:space="preserve">(2) Grenzänderungsverfahren nach Artikel 29 Abs. 7 des Grundgesetzes in der Fassung des Gesetzes vom 19. August 1969 (BGBl. I S. 1241), die beim Inkrafttreten dieses Gesetzes bereits eingeleitet waren, werden nach dem bisher geltenden Recht zu Ende geführt.</w:t>
      </w:r>
    </w:p>
    <w:p>
      <w:r>
        <w:rPr>
          <w:color w:val="555555"/>
          <w:sz w:val="17"/>
        </w:rPr>
        <w:t xml:space="preserve">Zitiervorschlag: § 6 GGArt29Abs7G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https://recht.nulegal.eu/gesetze/GGArt29Abs7G/6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